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bCs/>
          <w:i/>
          <w:i/>
          <w:iCs/>
          <w:color w:val="FF0000"/>
          <w:sz w:val="20"/>
          <w:szCs w:val="20"/>
        </w:rPr>
      </w:pPr>
      <w:r>
        <w:rPr>
          <w:rFonts w:cs="Arial" w:ascii="Arial" w:hAnsi="Arial"/>
          <w:b/>
          <w:bCs/>
          <w:i/>
          <w:iCs/>
          <w:color w:val="FF0000"/>
          <w:sz w:val="20"/>
          <w:szCs w:val="20"/>
        </w:rPr>
      </w:r>
    </w:p>
    <w:p>
      <w:pPr>
        <w:pStyle w:val="Normal"/>
        <w:jc w:val="center"/>
        <w:rPr>
          <w:rFonts w:ascii="Arial" w:hAnsi="Arial"/>
        </w:rPr>
      </w:pPr>
      <w:r>
        <w:rPr/>
        <w:drawing>
          <wp:inline distT="0" distB="0" distL="0" distR="0">
            <wp:extent cx="952500" cy="981075"/>
            <wp:effectExtent l="0" t="0" r="0" b="0"/>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952500" cy="981075"/>
                    </a:xfrm>
                    <a:prstGeom prst="rect">
                      <a:avLst/>
                    </a:prstGeom>
                    <a:noFill/>
                  </pic:spPr>
                </pic:pic>
              </a:graphicData>
            </a:graphic>
          </wp:inline>
        </w:drawing>
      </w:r>
      <w:r>
        <w:rPr>
          <w:rFonts w:eastAsia="Times New Roman" w:cs="Arial" w:ascii="Arial" w:hAnsi="Arial"/>
          <w:b/>
          <w:i/>
          <w:color w:val="FF0000"/>
          <w:sz w:val="20"/>
          <w:szCs w:val="20"/>
          <w:shd w:fill="auto" w:val="clear"/>
        </w:rPr>
        <w:t xml:space="preserve"> </w:t>
      </w:r>
      <w:bookmarkStart w:id="0" w:name="_Hlk82471863"/>
    </w:p>
    <w:p>
      <w:pPr>
        <w:pStyle w:val="BodyText"/>
        <w:spacing w:lineRule="auto" w:line="312" w:before="120" w:after="288"/>
        <w:jc w:val="center"/>
        <w:rPr>
          <w:rFonts w:ascii="Arial" w:hAnsi="Arial"/>
        </w:rPr>
      </w:pPr>
      <w:r>
        <w:rPr>
          <w:rFonts w:cs="Arial" w:ascii="Arial" w:hAnsi="Arial"/>
          <w:b/>
          <w:color w:val="000000"/>
          <w:sz w:val="20"/>
          <w:szCs w:val="20"/>
          <w:shd w:fill="auto" w:val="clear"/>
        </w:rPr>
        <w:t>MINISTÉRIO DA DEFESA</w:t>
      </w:r>
    </w:p>
    <w:p>
      <w:pPr>
        <w:pStyle w:val="BodyText"/>
        <w:spacing w:before="0" w:after="0"/>
        <w:ind w:hanging="0" w:left="0" w:right="0"/>
        <w:jc w:val="center"/>
        <w:rPr>
          <w:rFonts w:ascii="Arial" w:hAnsi="Arial"/>
        </w:rPr>
      </w:pPr>
      <w:r>
        <w:rPr>
          <w:rFonts w:ascii="Arial" w:hAnsi="Arial"/>
          <w:b/>
          <w:color w:val="000000"/>
          <w:sz w:val="22"/>
          <w:shd w:fill="auto" w:val="clear"/>
        </w:rPr>
        <w:t>EXÉRCITO BRASILEIRO</w:t>
      </w:r>
    </w:p>
    <w:p>
      <w:pPr>
        <w:pStyle w:val="BodyText"/>
        <w:spacing w:before="0" w:after="0"/>
        <w:ind w:hanging="0" w:left="0" w:right="0"/>
        <w:jc w:val="center"/>
        <w:rPr>
          <w:rFonts w:ascii="Arial" w:hAnsi="Arial"/>
        </w:rPr>
      </w:pPr>
      <w:r>
        <w:rPr>
          <w:rFonts w:ascii="Arial" w:hAnsi="Arial"/>
          <w:b/>
          <w:color w:val="000000"/>
          <w:sz w:val="22"/>
          <w:shd w:fill="auto" w:val="clear"/>
        </w:rPr>
        <w:t>DEPÓSITO CENTRAL DE MUNIÇÃO</w:t>
      </w:r>
    </w:p>
    <w:p>
      <w:pPr>
        <w:pStyle w:val="BodyText"/>
        <w:spacing w:before="0" w:after="0"/>
        <w:ind w:hanging="0" w:left="0" w:right="0"/>
        <w:jc w:val="center"/>
        <w:rPr>
          <w:rFonts w:ascii="Arial" w:hAnsi="Arial"/>
        </w:rPr>
      </w:pPr>
      <w:r>
        <w:rPr>
          <w:rFonts w:ascii="Arial" w:hAnsi="Arial"/>
          <w:b/>
          <w:color w:val="000000"/>
          <w:sz w:val="22"/>
          <w:shd w:fill="auto" w:val="clear"/>
        </w:rPr>
        <w:t>(D C M B / 1918)</w:t>
      </w:r>
    </w:p>
    <w:p>
      <w:pPr>
        <w:pStyle w:val="BodyText"/>
        <w:spacing w:before="0" w:after="0"/>
        <w:ind w:hanging="0" w:left="0" w:right="0"/>
        <w:jc w:val="center"/>
        <w:rPr>
          <w:rFonts w:ascii="Arial" w:hAnsi="Arial"/>
        </w:rPr>
      </w:pPr>
      <w:r>
        <w:rPr>
          <w:rFonts w:ascii="Arial" w:hAnsi="Arial"/>
          <w:shd w:fill="auto" w:val="clear"/>
        </w:rPr>
        <w:t> </w:t>
      </w:r>
    </w:p>
    <w:p>
      <w:pPr>
        <w:pStyle w:val="BodyText"/>
        <w:spacing w:before="0" w:after="0"/>
        <w:ind w:hanging="0" w:left="0" w:right="0"/>
        <w:jc w:val="center"/>
        <w:rPr>
          <w:rFonts w:ascii="Arial" w:hAnsi="Arial"/>
        </w:rPr>
      </w:pPr>
      <w:r>
        <w:rPr>
          <w:rFonts w:ascii="Arial" w:hAnsi="Arial"/>
          <w:b/>
          <w:color w:val="000000"/>
          <w:sz w:val="24"/>
          <w:shd w:fill="auto" w:val="clear"/>
        </w:rPr>
        <w:t>PREGÃO ELETRÔNICO SRP Nº 90006/2025</w:t>
      </w:r>
    </w:p>
    <w:p>
      <w:pPr>
        <w:pStyle w:val="BodyText"/>
        <w:spacing w:before="0" w:after="0"/>
        <w:ind w:hanging="0" w:left="0" w:right="0"/>
        <w:jc w:val="center"/>
        <w:rPr>
          <w:rFonts w:ascii="Arial" w:hAnsi="Arial"/>
        </w:rPr>
      </w:pPr>
      <w:r>
        <w:rPr>
          <w:rFonts w:ascii="Arial" w:hAnsi="Arial"/>
        </w:rPr>
      </w:r>
    </w:p>
    <w:p>
      <w:pPr>
        <w:pStyle w:val="BodyText"/>
        <w:spacing w:before="0" w:after="0"/>
        <w:ind w:hanging="0" w:left="0" w:right="0"/>
        <w:jc w:val="center"/>
        <w:rPr>
          <w:rFonts w:ascii="Arial" w:hAnsi="Arial"/>
        </w:rPr>
      </w:pPr>
      <w:r>
        <w:rPr>
          <w:rFonts w:ascii="Arial" w:hAnsi="Arial"/>
          <w:shd w:fill="auto" w:val="clear"/>
        </w:rPr>
        <w:t> </w:t>
      </w:r>
    </w:p>
    <w:p>
      <w:pPr>
        <w:pStyle w:val="BodyText"/>
        <w:spacing w:before="0" w:after="0"/>
        <w:ind w:hanging="0" w:left="0" w:right="0"/>
        <w:jc w:val="center"/>
        <w:rPr>
          <w:color w:val="000000"/>
        </w:rPr>
      </w:pPr>
      <w:r>
        <w:rPr>
          <w:rFonts w:ascii="Arial" w:hAnsi="Arial"/>
          <w:b/>
          <w:color w:val="000000"/>
          <w:sz w:val="24"/>
          <w:shd w:fill="auto" w:val="clear"/>
        </w:rPr>
        <w:t>(Processo Administrativo n°</w:t>
      </w:r>
      <w:r>
        <w:rPr>
          <w:rFonts w:ascii="Arial" w:hAnsi="Arial"/>
          <w:color w:val="000000"/>
          <w:shd w:fill="auto" w:val="clear"/>
        </w:rPr>
        <w:t> </w:t>
      </w:r>
      <w:r>
        <w:rPr>
          <w:rFonts w:eastAsia="Times New Roman" w:cs="Times New Roman"/>
          <w:b/>
          <w:bCs/>
          <w:color w:val="000000"/>
          <w:sz w:val="24"/>
          <w:szCs w:val="24"/>
          <w:shd w:fill="auto" w:val="clear"/>
        </w:rPr>
        <w:t>64449.000533/2025-71</w:t>
      </w:r>
      <w:r>
        <w:rPr>
          <w:rFonts w:ascii="Arial" w:hAnsi="Arial"/>
          <w:b/>
          <w:color w:val="000000"/>
          <w:sz w:val="24"/>
          <w:shd w:fill="auto" w:val="clear"/>
        </w:rPr>
        <w:t>)</w:t>
      </w:r>
    </w:p>
    <w:p>
      <w:pPr>
        <w:pStyle w:val="Normal"/>
        <w:spacing w:lineRule="auto" w:line="312" w:before="120" w:after="288"/>
        <w:jc w:val="center"/>
        <w:rPr>
          <w:rFonts w:ascii="Arial" w:hAnsi="Arial" w:cs="Arial"/>
          <w:bCs/>
          <w:color w:val="000000"/>
          <w:sz w:val="20"/>
          <w:szCs w:val="20"/>
        </w:rPr>
      </w:pPr>
      <w:r>
        <w:rPr>
          <w:rFonts w:cs="Arial" w:ascii="Arial" w:hAnsi="Arial"/>
          <w:bCs/>
          <w:color w:val="000000"/>
          <w:sz w:val="20"/>
          <w:szCs w:val="20"/>
        </w:rPr>
      </w:r>
    </w:p>
    <w:p>
      <w:pPr>
        <w:pStyle w:val="Nivel01"/>
        <w:numPr>
          <w:ilvl w:val="0"/>
          <w:numId w:val="4"/>
        </w:numPr>
        <w:ind w:hanging="0" w:left="0"/>
        <w:rPr>
          <w:rFonts w:ascii="Arial" w:hAnsi="Arial"/>
        </w:rPr>
      </w:pPr>
      <w:r>
        <w:rPr/>
        <w:t>CONDIÇÕES GERAIS DA CONTRATAÇÃO</w:t>
      </w:r>
    </w:p>
    <w:p>
      <w:pPr>
        <w:pStyle w:val="Normal"/>
        <w:numPr>
          <w:ilvl w:val="0"/>
          <w:numId w:val="0"/>
        </w:numPr>
        <w:ind w:hanging="0" w:left="0" w:right="0"/>
        <w:jc w:val="both"/>
        <w:rPr>
          <w:color w:val="000000"/>
        </w:rPr>
      </w:pPr>
      <w:r>
        <w:rPr>
          <w:rFonts w:eastAsia="Times New Roman" w:cs="Times New Roman" w:ascii="Times New Roman" w:hAnsi="Times New Roman"/>
          <w:b w:val="false"/>
          <w:bCs w:val="false"/>
          <w:i w:val="false"/>
          <w:iCs w:val="false"/>
          <w:color w:val="000000"/>
          <w:w w:val="105"/>
          <w:sz w:val="24"/>
          <w:szCs w:val="24"/>
        </w:rPr>
        <w:t xml:space="preserve"> </w:t>
      </w:r>
      <w:r>
        <w:rPr>
          <w:rFonts w:eastAsia="Times New Roman" w:cs="Times New Roman" w:ascii="Times New Roman" w:hAnsi="Times New Roman"/>
          <w:b w:val="false"/>
          <w:bCs w:val="false"/>
          <w:i w:val="false"/>
          <w:iCs w:val="false"/>
          <w:color w:val="000000"/>
          <w:w w:val="105"/>
          <w:sz w:val="24"/>
          <w:szCs w:val="24"/>
        </w:rPr>
        <w:tab/>
        <w:t>A aquisição de equipamentos para manutenção de material agrícolas Depósito Central de Munição</w:t>
      </w:r>
      <w:r>
        <w:rPr>
          <w:rFonts w:eastAsia="Times New Roman" w:cs="Times New Roman" w:ascii="Times New Roman" w:hAnsi="Times New Roman"/>
          <w:b/>
          <w:bCs w:val="false"/>
          <w:i w:val="false"/>
          <w:iCs w:val="false"/>
          <w:color w:val="000000"/>
          <w:w w:val="105"/>
          <w:sz w:val="24"/>
          <w:szCs w:val="24"/>
        </w:rPr>
        <w:t>,</w:t>
      </w:r>
      <w:r>
        <w:rPr>
          <w:rFonts w:eastAsia="Times New Roman" w:cs="Times New Roman" w:ascii="Times New Roman" w:hAnsi="Times New Roman"/>
          <w:b w:val="false"/>
          <w:bCs w:val="false"/>
          <w:i w:val="false"/>
          <w:iCs w:val="false"/>
          <w:color w:val="000000"/>
          <w:w w:val="105"/>
          <w:sz w:val="24"/>
          <w:szCs w:val="24"/>
        </w:rPr>
        <w:t xml:space="preserve"> nos termos da tabela abaixo, conforme condições e exigências estabelecidas neste instrumento.</w:t>
      </w:r>
    </w:p>
    <w:tbl>
      <w:tblPr>
        <w:tblW w:w="1020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27"/>
        <w:gridCol w:w="4652"/>
        <w:gridCol w:w="677"/>
        <w:gridCol w:w="855"/>
        <w:gridCol w:w="733"/>
        <w:gridCol w:w="1242"/>
        <w:gridCol w:w="1417"/>
      </w:tblGrid>
      <w:tr>
        <w:trPr>
          <w:trHeight w:val="921" w:hRule="atLeast"/>
        </w:trPr>
        <w:tc>
          <w:tcPr>
            <w:tcW w:w="627" w:type="dxa"/>
            <w:tcBorders>
              <w:top w:val="single" w:sz="4" w:space="0" w:color="000000"/>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Item</w:t>
            </w:r>
          </w:p>
        </w:tc>
        <w:tc>
          <w:tcPr>
            <w:tcW w:w="4652" w:type="dxa"/>
            <w:tcBorders>
              <w:top w:val="single" w:sz="4" w:space="0" w:color="000000"/>
              <w:left w:val="single" w:sz="4" w:space="0" w:color="000000"/>
              <w:bottom w:val="single" w:sz="4" w:space="0" w:color="000000"/>
            </w:tcBorders>
            <w:vAlign w:val="center"/>
          </w:tcPr>
          <w:p>
            <w:pPr>
              <w:pStyle w:val="Standard"/>
              <w:ind w:hanging="0" w:left="180" w:right="0"/>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Descrição</w:t>
            </w:r>
          </w:p>
        </w:tc>
        <w:tc>
          <w:tcPr>
            <w:tcW w:w="677" w:type="dxa"/>
            <w:tcBorders>
              <w:top w:val="single" w:sz="4" w:space="0" w:color="000000"/>
              <w:left w:val="single" w:sz="4" w:space="0" w:color="000000"/>
              <w:bottom w:val="single" w:sz="4" w:space="0" w:color="000000"/>
              <w:right w:val="single" w:sz="4" w:space="0" w:color="000000"/>
            </w:tcBorders>
            <w:vAlign w:val="center"/>
          </w:tcPr>
          <w:p>
            <w:pPr>
              <w:pStyle w:val="Standard"/>
              <w:ind w:hanging="0" w:left="39" w:right="0"/>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Unidade</w:t>
            </w:r>
          </w:p>
        </w:tc>
        <w:tc>
          <w:tcPr>
            <w:tcW w:w="855"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CATMAT</w:t>
            </w:r>
          </w:p>
        </w:tc>
        <w:tc>
          <w:tcPr>
            <w:tcW w:w="733"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Qtde</w:t>
            </w:r>
          </w:p>
        </w:tc>
        <w:tc>
          <w:tcPr>
            <w:tcW w:w="1242"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Valor</w:t>
            </w:r>
          </w:p>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Unitário</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Valor</w:t>
            </w:r>
          </w:p>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Total</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1</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Correia das lâminas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Produto: Correia em "V" para Cortador de Grama MTD</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Borrachas Sintéticas: Resistência ao desgaste e ao calor.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Poliéster: Resistência à tração e flexibilidade.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Design: Correia em "V" com ranhuras ou superfícies lisas para encaixe adequado nas polias.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96,5 polegadas (2,45 metros).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1/2 polegada (12,7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Temperatura de Operação: De -30 °C a 70 °C.</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Resistência ao Óleo e Combustível: Correia resistente à degradação causada por óleos e combustíveis.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Potência do motor: Para motores de até 17,5 HP.</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Durabilidade: Correia projetada para suportar altas cargas, proporcionando maior vida útil e menos necessidade de manutenção.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Cortador de grama MTD modelo 13AN775S308</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Normal"/>
              <w:rPr>
                <w:sz w:val="24"/>
                <w:szCs w:val="24"/>
              </w:rPr>
            </w:pPr>
            <w:r>
              <w:rPr>
                <w:sz w:val="24"/>
                <w:szCs w:val="24"/>
              </w:rPr>
              <w:t>601365</w:t>
            </w:r>
          </w:p>
          <w:p>
            <w:pPr>
              <w:pStyle w:val="Normal"/>
              <w:jc w:val="center"/>
              <w:rPr>
                <w:rFonts w:ascii="Times New Roman" w:hAnsi="Times New Roman"/>
                <w:color w:val="000000"/>
                <w:sz w:val="24"/>
                <w:szCs w:val="24"/>
              </w:rPr>
            </w:pPr>
            <w:r>
              <w:rPr>
                <w:rFonts w:ascii="Times New Roman" w:hAnsi="Times New Roman"/>
                <w:color w:val="000000"/>
                <w:sz w:val="24"/>
                <w:szCs w:val="24"/>
              </w:rPr>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92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R$479,81</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R$44.142,52</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2</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Lâmina faca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Lâmina de corte para trator cortador de grama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Tamanho: 53,8 cm (aproximadamente 21,2 polegadas).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 de alta qualidade, resistente ao desgaste.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Design: Lâmina de corte afiada, com possíveis fendas.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Cortador de grama MTD modelo 13AN775S308</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4"/>
                <w:szCs w:val="24"/>
              </w:rPr>
            </w:pPr>
            <w:r>
              <w:rPr>
                <w:rFonts w:ascii="Times New Roman" w:hAnsi="Times New Roman"/>
                <w:color w:val="000000"/>
                <w:sz w:val="24"/>
                <w:szCs w:val="24"/>
              </w:rPr>
              <w:t>612630</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s="Liberation Serif"/>
                <w:color w:val="000000"/>
                <w:sz w:val="24"/>
                <w:szCs w:val="24"/>
                <w:lang w:val="pt-BR"/>
              </w:rPr>
            </w:pPr>
            <w:r>
              <w:rPr>
                <w:rFonts w:cs="Liberation Serif" w:ascii="Times New Roman" w:hAnsi="Times New Roman"/>
                <w:color w:val="000000"/>
                <w:sz w:val="24"/>
                <w:szCs w:val="24"/>
                <w:lang w:val="pt-BR"/>
              </w:rPr>
            </w:r>
          </w:p>
          <w:p>
            <w:pPr>
              <w:pStyle w:val="Standard"/>
              <w:jc w:val="center"/>
              <w:rPr>
                <w:rFonts w:ascii="Times New Roman" w:hAnsi="Times New Roman"/>
                <w:sz w:val="24"/>
                <w:szCs w:val="24"/>
              </w:rPr>
            </w:pPr>
            <w:r>
              <w:rPr>
                <w:rFonts w:cs="Times New Roman" w:ascii="Times New Roman" w:hAnsi="Times New Roman"/>
                <w:color w:val="000000"/>
                <w:sz w:val="24"/>
                <w:szCs w:val="24"/>
                <w:lang w:val="pt-BR"/>
              </w:rPr>
              <w:t>92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R$157,30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R$14.471,60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3</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Interruptor de ignição e chave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Terminais: 5 terminais, com 3 posições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Ligar: Ativa o motor para funcionamento.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Desligar: Desativa o motor.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Manivela: para partida manual em caso de falha no sistema elétrico ou bateria.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Cortador de grama MTD modelo 13AN775S308</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4"/>
                <w:szCs w:val="24"/>
              </w:rPr>
            </w:pPr>
            <w:r>
              <w:rPr>
                <w:rFonts w:ascii="Times New Roman" w:hAnsi="Times New Roman"/>
                <w:color w:val="000000"/>
                <w:sz w:val="24"/>
                <w:szCs w:val="24"/>
              </w:rPr>
              <w:t>468816</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62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R$222,67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R$13.805,54</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4</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Controlador de altura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Controlador de altura, também conhecido como Lift Deck.</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metal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Compatibilidade: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Modelo do Trator: Cortadores de grama MTD de 42 polegadas.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Potência do Motor: 17,5 HP.</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Cortador de grama MTD modelo 13AN775S308</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614538</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62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R$140,93</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R$8.737,66</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5</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kit de reparo do carburador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Gaxetas e Vedantes: Para garantir uma vedação adequada, evitando vazamentos de combustível.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Juntas de Carburador: para a montagem e vedação do carburador.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Agulhas e Assentos: regulam o fluxo de combustível.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Parafusos e Porcas: Para a montagem e fixação de peças do carburado.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Potência do Motor: 17,5 HP.</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Cortador de grama MTD modelo 13AN775S308</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468801</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92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R$69,00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R$6.348,00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6</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Vela ignição para motores.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Vela de ignição a gasolina, 4 tempos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Rosca: 14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da Rosca: 3/8" (9,5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Gap do Eletrodo: 0,76 mm (0,030”)</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do Eletrodo: Níquel ou Cobre</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Classe de Calor: Intermediária</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Temperatura de Funcionamento: -40°C a +100°C</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Aproximado: 0,03 kg a 0,05 kg por unidade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tabs>
                <w:tab w:val="clear" w:pos="708"/>
                <w:tab w:val="center" w:pos="2581" w:leader="none"/>
              </w:tabs>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Marca: Briggs &amp; Stratton 17,5 HP.</w:t>
            </w:r>
          </w:p>
          <w:p>
            <w:pPr>
              <w:pStyle w:val="Standard"/>
              <w:shd w:val="clear" w:color="auto" w:fill="FFFFFF"/>
              <w:tabs>
                <w:tab w:val="clear" w:pos="708"/>
                <w:tab w:val="center" w:pos="2581" w:leader="none"/>
              </w:tabs>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 RC12YC</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603142</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92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R$58,30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R$5.363,60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7</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Carburador completo para motor a gasolina. Para trator cortador de grama.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Tipo de Carburador: Carburador de ação automática com solenoide de controle de afogamento.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Material do Corpo: Alumínio fundido ou liga metálica de alta resistência à corrosão e desgaste.</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de Entrada: Aproximadamente 30mm a 32mm.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Pressão de Combustível: A pressão de combustível compatível com o carburador é de 3 psi (pressurizado).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Sistemas de Controle:</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Solenoide de 12V para controle do afogamento durante a partida.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Conexões de combustível: Conexões padrão para fácil instalação e substituição.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Compatibilidade com Combustível: O carburador é compatível com gasolina.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Kit de Juntas:</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Junta de vedação entre o carburador e o coletor de admissão.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Junta de vedação entre o carburador e o corpo do motor.</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Junta de vedação para o conector do solenoide.</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Material das Juntas: Borracha nitrílica ou outro material resistente a combustíveis e altas temperaturas.</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Kit de Mangueira: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Tipo de Mangueira: Flexível e resistente a combustíveis e óleos.</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Comprimento: Aproximadamente 30cm a 50cm.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Interno: Aproximadamente 5mm a 8mm.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Externo: Aproximadamente 9mm a 11mm.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Material da Mangueira: Borracha reforçada ou material sintético com resistência a combustíveis e calor.</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Compatível com motores Briggs &amp; Stratton da linha Intek: 17,5hp.</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color w:val="auto"/>
                <w:sz w:val="24"/>
                <w:szCs w:val="24"/>
                <w:lang w:val="pt-BR"/>
              </w:rPr>
              <w:t>250008</w:t>
              <w:br/>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62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R$256,70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R$15.915,40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8</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Tampa (Capa) do filtro de ar para motores. Para trator cortador de grama.</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Plástico resistente a impactos.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Cor: Normalmente preta.</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Aproximadas: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Interno: Aproximadamente 280 mm a 290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Externo: Aproximadamente 290  mm a 300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ou Espessura: Aproximadamente 70 mm a 90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Cerca de 0,1 kg a 0,3 kg.</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 xml:space="preserve"> </w:t>
            </w:r>
            <w:r>
              <w:rPr>
                <w:rFonts w:cs="Times New Roman" w:ascii="Times New Roman" w:hAnsi="Times New Roman"/>
                <w:b/>
                <w:color w:val="000000"/>
                <w:sz w:val="24"/>
                <w:szCs w:val="24"/>
                <w:lang w:val="pt-BR"/>
              </w:rPr>
              <w:t>Trator Cortador de Grama, modelo 13AN775S308, motor 17,5HP.</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468820</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46</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R$390,00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R$17.940,00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9</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Porca do Eixo do Mandril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do Produto: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1,00 polegada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0,50 polegada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1,50 polegada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 leve e adequado para instalação em tratores.)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 carbono ou liga metálica proporcionando resistência e durabilidade.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Equipamento Compatível: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Projetada para uso em tratores cortadores de grama MTD com deck de 42 polegadas.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Compatível com o trator MTD de 17,5 HP.</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lang w:val="pt-BR"/>
              </w:rPr>
              <w:t>468874</w:t>
              <w:br/>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92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R$24,67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R$2.269,64</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10</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Solenoide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Solenoide eletromecânico, utilizado para controle de sistemas de acionamento.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Externas: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10,16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7,87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6,86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158,76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Cortador de grama MTD modelo 13AN775S308</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473309</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62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R$639,33</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R$39.638,46</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11</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Bateria automotiva 12v 30ah</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Tensão Nominal/Voltagem: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12 Volts (V)</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Capacidade Nominal: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30 Ah (Ampere-hora)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19,7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13,0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18,4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Bateria Tudor 12V 30Ah</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372360</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62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R$502,37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R$31.146,94</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12</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Óleo Lubrificante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Óleo: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Óleo lubrificante para motores a gasolina de 4 tempos.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Viscosidade: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10W-30:</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Classificação: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Volume: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1000 ml (1 litro)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Toyama Lub GG10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601656</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92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R$52,96</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R$4.872,32</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13</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Cabo de acionamento das lâminas para trator cortador de grama.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Comprimento do Cabo: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104 cm (aproximadamente 1 metro e 4 centímetros) –</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Material do Cabo: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Aço Inoxidável ou Aço Galvanizado – material de alta resistência à tração e à corrosão.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Revestimento Externo: Cabo revestido com plástico ou borracha para maior durabilidade.</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do Cabo: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Aproximadamente 5mm a 6mm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Sistema de Acionamento: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Engate Manual –  engatando ou desengatando as lâminas do cortador de grama.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Conexões:</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Ganchos ou Olhais de Conexão.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Resistência Climática e à Corrosão.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Resistência a Combustíveis e Óleos: Material resistente a danos causados por contato com combustíveis ou óleos usados no trator.</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Durabilidade:</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Cabo projetado para suportar uso contínuo e repetido, com vida útil prolongada sob condições normais de operação.</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jc w:val="both"/>
              <w:rPr>
                <w:rFonts w:ascii="Times New Roman" w:hAnsi="Times New Roman"/>
                <w:sz w:val="24"/>
                <w:szCs w:val="24"/>
              </w:rPr>
            </w:pPr>
            <w:r>
              <w:rPr>
                <w:rFonts w:cs="Times New Roman" w:ascii="Times New Roman" w:hAnsi="Times New Roman"/>
                <w:b/>
                <w:color w:val="000000"/>
                <w:sz w:val="24"/>
                <w:szCs w:val="24"/>
                <w:lang w:val="pt-BR"/>
              </w:rPr>
              <w:t>Motor de 17,5 hp Briggs &amp; Stratton.</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468803</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92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R$509,97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R$46.917,24</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14</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Filtro de combustível. Para trator cortador de grama.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Filtro de combustível em linha (também conhecido como filtro de combustível tipo cônico ou tipo jarro).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Material:</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Plástico de alta resistência ou metal galvanizado.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da Conexão: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Aproximadamente 6 mm a 8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Comprimento do Filtro: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Aproximadamente 5 cm a 8 cm.</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Cortador de grama MTD modelo 13AN775S308</w:t>
            </w:r>
          </w:p>
          <w:p>
            <w:pPr>
              <w:pStyle w:val="Standard"/>
              <w:jc w:val="both"/>
              <w:rPr>
                <w:rFonts w:ascii="Times New Roman" w:hAnsi="Times New Roman"/>
                <w:sz w:val="24"/>
                <w:szCs w:val="24"/>
              </w:rPr>
            </w:pPr>
            <w:r>
              <w:rPr>
                <w:rFonts w:cs="Times New Roman" w:ascii="Times New Roman" w:hAnsi="Times New Roman"/>
                <w:b/>
                <w:color w:val="000000"/>
                <w:sz w:val="24"/>
                <w:szCs w:val="24"/>
                <w:lang w:val="pt-BR"/>
              </w:rPr>
              <w:t>Toyama 17,5 HP – motor 4 tempos</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468849</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92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R$50,97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R$4.689,24</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15</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Filtro de ar. Para trator cortador de grama.</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do Elemento Filtrante:</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Papel filtrante de alta densidade</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e Tamanho:</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O diâmetro externo do filtro de ar costuma ser em torno de 10 a 12 cm.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O diâmetro interno pode ser em torno de 4 a 6 cm.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O comprimento do filtro pode variar entre 12 a 15 cm.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Formato do Filtro:</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Cilíndrico</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Cortador de grama MTD modelo 13AN775S308</w:t>
            </w:r>
          </w:p>
          <w:p>
            <w:pPr>
              <w:pStyle w:val="Standard"/>
              <w:jc w:val="both"/>
              <w:rPr>
                <w:rFonts w:ascii="Times New Roman" w:hAnsi="Times New Roman"/>
                <w:sz w:val="24"/>
                <w:szCs w:val="24"/>
              </w:rPr>
            </w:pPr>
            <w:r>
              <w:rPr>
                <w:rFonts w:cs="Times New Roman" w:ascii="Times New Roman" w:hAnsi="Times New Roman"/>
                <w:b/>
                <w:color w:val="000000"/>
                <w:sz w:val="24"/>
                <w:szCs w:val="24"/>
                <w:lang w:val="pt-BR"/>
              </w:rPr>
              <w:t>Toyama 17,5 HP – motor 4 tempos</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color w:val="auto"/>
                <w:sz w:val="24"/>
                <w:szCs w:val="24"/>
                <w:lang w:val="pt-BR"/>
              </w:rPr>
              <w:t>468820</w:t>
              <w:br/>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92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R$108,97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R$10.025,24</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16</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Correia de Polia de Transmissão</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Total: 35,25 polegadas (aproximadamente 894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da Correia: Aproximadamente 0,5" a 0,75" (12,7 mm a 19 mm), dependendo do modelo.</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da Correia: Aproximadamente 0,25" a 0,375" (6 mm a 9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da Polia: Compatível com polias de diâmetro médio, entre 3" a 5" (7,6 cm a 12,7 cm), dependendo do equipamento.</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Correia: Correia em V (V-Belt) para sistemas de transmissão.</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Aplicação: Utilizada em tratores cortadores de grama, tratores agrícolas.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Borracha reforçada com fibras sintéticas de poliéster ou nylon, para resistir a altas tensões e desgaste.</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Cor: Preto.</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jc w:val="both"/>
              <w:rPr>
                <w:rFonts w:ascii="Times New Roman" w:hAnsi="Times New Roman"/>
                <w:sz w:val="24"/>
                <w:szCs w:val="24"/>
              </w:rPr>
            </w:pPr>
            <w:r>
              <w:rPr>
                <w:rFonts w:cs="Times New Roman" w:ascii="Times New Roman" w:hAnsi="Times New Roman"/>
                <w:b/>
                <w:color w:val="000000"/>
                <w:sz w:val="24"/>
                <w:szCs w:val="24"/>
                <w:lang w:val="pt-BR"/>
              </w:rPr>
              <w:t>Referência do Produto: 954-05040</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Compatíveis: Cortadores de grama e tratores de 17,5HP.</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331126</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92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R$508,97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R$46.825,24</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17</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Correia de tração longa.</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Total: 70,9 polegadas (aproximadamente 1,80 metros)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0,656 polegadas (aproximadamente 1,67 cm)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Aproximadamente 0,375 polegadas (cerca de 9,5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Correia: Correia em V (V-belt), projetada para ser utilizada em sistemas de tração de tratores e cortadores de grama.</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jc w:val="both"/>
              <w:rPr>
                <w:rFonts w:ascii="Times New Roman" w:hAnsi="Times New Roman"/>
                <w:sz w:val="24"/>
                <w:szCs w:val="24"/>
              </w:rPr>
            </w:pPr>
            <w:r>
              <w:rPr>
                <w:rFonts w:cs="Times New Roman" w:ascii="Times New Roman" w:hAnsi="Times New Roman"/>
                <w:b/>
                <w:color w:val="000000"/>
                <w:sz w:val="24"/>
                <w:szCs w:val="24"/>
                <w:lang w:val="pt-BR"/>
              </w:rPr>
              <w:t>Referência do Produto: 954-04249A</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Compatíveis: Cortadores de grama e tratores de 17,5HP.</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610476</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92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R$493,72</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R$45.422,24</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18</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Sabre para motopoda.</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Tamanho: 30 cm (12 polegadas) de comprimento</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1,1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 de alta resistência e durabilidade, com acabamento de alta precisão para garantir cortes uniformes e seguros.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Características: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Alta resistência ao atrito e ao desgaste.</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Corte preciso e de alta qualidade.</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Desempenho estável e durável mesmo sob uso contínuo.</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Revestimento anti-corrosão.</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 Sabre Rollomatic (3005-000-3905 STIHL).</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333055</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R$276,30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R$3.315,60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19</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Calça de 8 camadas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Modelo: Calça Anti-Corte para operador de motosserra.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Camadas: 8 camadas de proteção.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Tecido Externo: 100% Poliéster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Forro Interno: Poliéster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Forro que garante conforto e uma boa sensação ao toque, além de contribuir para a respirabilidade da calça.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Proteção: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Conforto: que permite liberdade de movimento, ideal para atividades que exigem agilidade.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Ajuste: com ajuste na cintura e fechos que permitem um melhor encaixe.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Tamanho: 40 e 42</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Marca: Tecmater modelo:13030MT8 38 AZ</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328706</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R$374,62</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R$4.495,44</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20</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Luva em nylon</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Nylon</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Tecido leve e durável, oferece resistência à abrasão e boa flexibilidade, permitindo liberdade de movimento.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Punho: Ajustável em Velcro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Fechamento em velcro; um ajuste personalizado.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Proteção: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Proporciona uma camada de proteção contra cortes e abrasões.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Conforto:que se adapta à mão, permitindo um bom toque e sensibilidade, essencial para operar ferramentas de precisão.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Tamanho: entre 21 a 23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Par: Inclui uma luva para cada mão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SAYRO-61017</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325897</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20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R$27,14</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R$542,80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21</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Jogo de Juntas, kit reparo do carburador.</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Diafragma de Combustível.</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Tamanho Aproximado: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30-40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Espessura: 1-2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Gaxetas de Vedação.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Tamanho Aproximado: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interno: 10-12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externo: 20-30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Espessura: 1-2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Mola de Agulha.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Tamanho Aproximado: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Comprimento: 15-20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2-3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Agulha de Válvula.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Tamanho Aproximado: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Comprimento: 40-50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2-3 mm (na parte superior)</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Pistão de Carburador.</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Tamanho Aproximado: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12-15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Comprimento: 15-20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Juntas de Vedação.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Tamanho Aproximado: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interno: 15-20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externo: 25-35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jc w:val="both"/>
              <w:rPr>
                <w:rFonts w:ascii="Times New Roman" w:hAnsi="Times New Roman"/>
                <w:sz w:val="24"/>
                <w:szCs w:val="24"/>
              </w:rPr>
            </w:pPr>
            <w:r>
              <w:rPr>
                <w:rFonts w:cs="Times New Roman" w:ascii="Times New Roman" w:hAnsi="Times New Roman"/>
                <w:b/>
                <w:color w:val="000000"/>
                <w:sz w:val="24"/>
                <w:szCs w:val="24"/>
                <w:lang w:val="pt-BR"/>
              </w:rPr>
              <w:t>HT131 (cortador de galhos/serra de poda)</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13498</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R$145,30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R$1.743,60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22</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Corrente de 84 elos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Passo:3/8"</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O passo da corrente, que é a distância entre os elos.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Elos de Tração:84 elos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Quantidade de Dentes:42 dentes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Calibre: 1.5 mm (0,058"): O calibre da corrente.</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 xml:space="preserve">Modelos de referência podendo ser igual ou superior: </w:t>
              <w:br/>
              <w:t>Compatível: motosserra MS 661 stihl.</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402074</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R$196,67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R$2.360,04</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23</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Sabre de Motosserra de 25" (63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25 polegadas (63 cm); cortes profundos e rápidos.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durabilidade: resistência à corrosão.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Sabre original Duromatic 63CM/25"1,6MM/0,063 Stihl.</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312587</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05</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R$444,72</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R$2.223,60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24</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Motosserra MS 382</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do Sabre: 40 cm (16")</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Corrente: 3/8"</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Modelo da Corrente: 36RS.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Cilindrada: Em torno de 38 cm³.</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Potência: Aproximadamente 2,2 kW.</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MS 382.</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373384</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R$4.214,02</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R$8.428,04</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25</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Motocultivador 5hp</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Refrigerado a Ar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Cilindros: Monocilíndrico.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Ciclo: 4 Tempos.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Cilindrada: 247 cc.</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Potência Máxima: 5.0 HP.</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Rotação Nominal: 3600 RPM.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Capacidade do Tanque: 2.5 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Capacidade de Óleo do Motor: 0.8 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Capacidade de Óleo da Caixa de Transmissão: 1.1 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Combustível: Diesel.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Tamanho das rodas: 8 polegadas.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Toyama TDT100R-XP.</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613439</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R$4.642,02</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R$9.284,04</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26</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Roçadeira frontal.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da estrutura: aço de alta resistência.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de corte: aproximadamente 500 mm (50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lâmina: equipado com lâminas de metal.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de corte: ajustável de 30 mm a 100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Roçadeira frontal RF500.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604311</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R$3.314,60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R$6.629,20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27</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Vela de Ignição.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vela: vela de ignição de alta performance para motores a 2 tempos e 4 tempos.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14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Passo: 1,25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Total: Aproximadamente 70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Eletrodos.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Isolador: cerâmico de alta qualidade.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 BPM7A</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i w:val="false"/>
                <w:caps w:val="false"/>
                <w:smallCaps w:val="false"/>
                <w:color w:val="auto"/>
                <w:spacing w:val="0"/>
                <w:sz w:val="24"/>
                <w:szCs w:val="24"/>
                <w:lang w:val="pt-BR"/>
              </w:rPr>
              <w:t>618313</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120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R$24,27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R$2.912,40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28</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Tampa de partida para roçadeiras.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Tampa partida completa.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4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15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16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Fabricada em plástico resistente, com componentes metálicos de alta durabilidade.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Compatível com roçadeiras Stihl dos modelos FS 160, FS 220, FS 280 e FS 290.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624135</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R$90,63</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1.087,56</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29</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Óleo lubrificante para correntes.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Volume: 1 litro.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Base do Óleo: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Mineral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Função: Fornece a viscosidade necessária para lubrificação eficaz.</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Aditivos Antioxidantes: Previne a oxidação do óleo, aumentando a durabilidade.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ISO VG 100. ANP 0215. Magnum</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rPr>
              <w:t>620720</w:t>
              <w:tab/>
              <w:br/>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100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R$31,84</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3.184,00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30</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Carburador de roçadeira.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Alumínio de alta resistência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150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4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5,5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montagem: parafusos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Sistema de ajuste: manual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Compatibilidade: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Roçadeira Stihl FS-160</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Roçadeira Stihl FS-220</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Roçadeira Stihl FS-290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Normal"/>
              <w:spacing w:lineRule="auto" w:line="240" w:before="0" w:after="0"/>
              <w:jc w:val="center"/>
              <w:rPr>
                <w:sz w:val="24"/>
                <w:szCs w:val="24"/>
              </w:rPr>
            </w:pPr>
            <w:r>
              <w:rPr>
                <w:rFonts w:eastAsia="Times New Roman" w:cs="Times New Roman" w:ascii="Times New Roman" w:hAnsi="Times New Roman"/>
                <w:b w:val="false"/>
                <w:bCs w:val="false"/>
                <w:color w:val="auto"/>
                <w:kern w:val="0"/>
                <w:sz w:val="24"/>
                <w:szCs w:val="24"/>
              </w:rPr>
              <w:t>353732</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50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R$190,57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9.528,50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31</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Carburador de motosserra.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Alumínio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0,250 kg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12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10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10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montagem: parafusos,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Sistema de ajuste: manual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Compatibilidade: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Motosserra Stihl MS210</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Motosserra Stihl MS230</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Motosserra Stihl MS250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397824</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R$132,00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1.320,00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32</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Bomba de óleo sem fim .</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bomba de óleo automática.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alumínio.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aproximadamente 9 cm x 6 cm x 6 cm (comprimento x largura x altura).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Conexões: conexão roscada ou por encaixe rápido.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Vazão: entre 100 ml/h a 200 ml/h</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Pressão de Trabalho: 1 a 2 bar.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Motosserra Stihl MS 170</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Motosserra Stihl MS 180</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Motosserra Stihl MS 210</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Motosserra Stihl MS 230</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Motosserra Stihl MS 250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266102</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05</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R$50,03</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250,15</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33</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Cilindro completo para roçadeira, com pistão, travas e anéis.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do Cilindro: 40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Cilindrada: 43 cc</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do Cilindro: Alumínio com tratamento anti-desgaste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pistão: Alumínio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Design: Com furos de resfriamento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Quantidade anéis: 2 anéis (compressão e óleo)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Aproximadamente 1,5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Travas do pistão: 2 travas de aço.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Juntas: Inclui juntas de vedação.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Compatível: STIHL - FS 280 E FS 290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606341</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25</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R$123,23</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3.080,75</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34</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Cilindro completo para motosserra, com pistão, travas e anéis.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do Cilindro: 42,5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Cilindrada: Aproximadamente 40-45 cc.</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do Cilindro: Alumínio, tratado para resistência ao desgaste e corrosão.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pistão: Alumínio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Aproximadamente 150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Design: Com furos de resfriamento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Quantidade anéis: 2 anéis (compressão e óleo)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Aproximadamente 1,5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Travas do pistão: 2 travas de aço.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Juntas: Inclui juntas de vedação.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025 / 250 / 210 / 230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303056</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05</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R$133,46</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667,30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35</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Cilindro completo para roçadeira, com pistão, travas e anéis.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do Cilindro: 35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Cilindrada: Aproximadamente 30 cc.</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do Cilindro: Alumínio, tratado para resistência ao desgaste e corrosão.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pistão: Alumínio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Aproximadamente 120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Design: Com furos de resfriamento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Quantidade anéis: 2 anéis (compressão e óleo)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Aproximadamente 1,5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Travas do pistão: 2 travas de aço.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Juntas: Inclui juntas de vedação.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do Produto: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12,5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11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14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Fs160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606341</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05</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R$206,63</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1.033,15</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36</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Cilindro completo para roçadeira, com pistão, travas e anéis.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do Cilindro: 38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Cilindrada: Aproximadamente 30-35 cc.</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do Cilindro: Alumínio, tratado para resistência ao desgaste e corrosão.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pistão: Alumínio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Aproximadamente 110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Design: Com furos de resfriamento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Quantidade anéis: 2 anéis (compressão e óleo)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Aproximadamente 1,5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Travas do pistão: 2 travas de aço.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Juntas: Inclui juntas de vedação.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do Produto: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Fs220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606341</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05</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R$205,32</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1.026,60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37</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Limitador de altura, para roçadeira.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Material: Nylon de alta resistência.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Características: Resistente ao impacto, desgaste e intempéries (UV, umidade).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do furo: 16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do limitador: Aproximadamente 50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Aproximadamente 30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FS 160, FS 220, FS 280, FS 290.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608085</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300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R$50,14</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15.042,00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38</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Kit Mangueirae Injetor Combustível 43cc,para roçadeira.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Transporte de combustível (gasolina e misturas de óleo) em roçadeiras.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Materiais: Plástico polietileno de alta densidade.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Temperatura Mínima Suportada: 8 °C.</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Temperatura Máxima Suportada: 90 °C.</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Mangueira: flexível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Interno: 3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Externo: 6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20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Injetor de Combustível: Injetor de combustível adequado para motores de 43cc.</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FS 290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608443</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40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R$20,98</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839,20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39</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Mangueira de combustível.</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PVC ou borracha resistente a combustível.</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Aproximadamente 45 a 60 cm.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Interno: 4 mm a 6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Externo: 6 mm a 8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Flexibilidade: Alta flexibilidade e resistência à pressão e torções.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Resistência: Resistência comprovada ao contato com gasolina e outros combustíveis.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Conexões: Compatível com as conexões do tanque de combustível e do carburador da motosserra.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MS 380, MS 381 e MS 382.</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606335</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R$28,96</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289,60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40</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Ponteira Transmissão.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9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17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12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Cor: Cinza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Composição: Metal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Linha ou Coleção: Linha de Roçadeiras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 Ideal: Roçadeiras STIHL FS 160, FS 220, FS 280.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609995</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20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R$157,63</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3.152,60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41</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Módulo Eletrônico de Ignição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Plástico e componentes eletrônicos de alta durabilidade.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(aproximadas)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5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10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7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Aproximadamente 200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Conexões: Conectores compatíveis com a maioria das roçadeiras.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Ignição: Eletrônica, para melhor desempenho e eficiência do motor.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Quantidade: 2 conectores.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do Terminal: Aproximadamente 6,3 mm (pode variar de 4,8 mm a 6,3 mm, dependendo do fabricante).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do Terminal: Cobre niquelado ou latão para resistência à corrosão.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do Cabo: Cobre com isolamento em PVC.</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do Cabo: Aproximadamente 15 cm (pode variar conforme o modelo).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do Cabo: 0,75 mm² a 1,5 mm².</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Roçadeiras 43cc / 52cc</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607409</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40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R$139,94</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5.597,60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42</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Cabo de Acelerador.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Aço (com revestimento anticorrosivo)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1,5 metros a 2 metros.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do Cabo: 1,5 mm a 2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Conexão: Conexões tipo olhal/gancho (compatível com o manete de controle e o carburador ).</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Resistência à Tração: Capaz de suportar até 30 kgf.</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Aplicação: Compatível com os modelos FS160, FS180, FS220, FS280, FS290, 4119, 180, 1100 da marca Stihl.</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356732</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300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R$19,92</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5.976,00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43</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Corrente 26, para motosserra.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corrente: 26RS (33 facas)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Passo: 0,325"</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do elo de tração: 1,6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Lima para afiação: 4,8 mm (3/16")</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Ângulo de afiação: 30 graus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MS260.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303055</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R$112,48</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1.349,76</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44</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Lâmina de 2 Pontas.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350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2,0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25,4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Furo: 25,4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 de alta qualidade.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Lâmina de 2 pontas para corte preciso e durável.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Toyama 1301-050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612157</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300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R$36,18</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10.854,00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45</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Filtro de Combustível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33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14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do Bico: 10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do Bico: 4,5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Plástico resistente e fibras filtrantes de alta qualidade.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Camadas de Proteção: três camadas.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FS160, FS220, MS260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608444</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40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R$13,24</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529,60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46</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Filtro de ar, para motosserra 250.</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do Filtro: Espuma de poliuretano de alta densidade (HD).</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A espuma deve ser feita de um material poroso e flexível, com resistência à abrasão.</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da espuma: Aproximadamente 10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Densidade da espuma: 20-30 PPI (pontos por polegada).</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Eficiência de Filtração: Mínima de 98% para partículas de até 5 micrômetros.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A espuma deve ser capaz de filtrar eficientemente detritos, poeira, sujeira, fuligem e outras partículas do ar, protegendo o motor da motosserra.</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Capacidade de Retenção de Partículas: Deve ser eficaz na retenção de partículas até 0,5 micrômetro em 90% das situações, garantindo que o ar limpo chegue ao motor.</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Resistência ao Desgaste: O material deve ser resistente a temperaturas de até 100°C, com alta resistência ao desgaste causado pela exposição a sujeira e detritos.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Resistência a Produtos Químicos: O filtro de ar deve ser resistente a óleos, combustíveis e solventes.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Aproximadas: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100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80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10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025 e Stihl 250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264177</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R$22,34</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268,08</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47</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Filtro de ar para roçadeira.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Espuma ou material sintético de alta resistência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Função: Filtragem de impurezas do ar para proteger o motor e otimizar o desempenho.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Aproximadas: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75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50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25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de Encaixe: 30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FS160, FS220, FS280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486787</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100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R$19,97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1.997,00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48</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Elemento pré-filtro de ar para roçadeira.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Espuma sintética de alta densidade ou tecido filtrante especializado, resistente a combustíveis, óleos e substâncias químicas.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Aproximadas: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75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50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25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de Encaixe: 30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FS160, FS220, FS280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486787</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100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R$5,48</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548,00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49</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Embreagem, para roçadeira.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Corpo da Embreagem: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 ou ferro fundido de alta resistência.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Externo: 70 mm a 85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Interno: 12 mm a 20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20 mm a 30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Número de Sapatas: 2 sapatas de fricção (material composto: fibra ou lona).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Acabamento: Revestimento antioxidante ou pintura eletrostática.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Mola da Embreagem: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 de alta resistência.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30 mm a 50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do Arame: 1,5 mm a 2,0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Tensão calibrada para acionamento entre 3.000 e 4.000 rpm.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Resistência a temperaturas de até 200°C.</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Arruelas Guia (2 unidades):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 inoxidável ou ferro tratado.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Externo: 25 mm a 35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Interno: 12 mm a 20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2 mm a 3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Quantidade: 2 unidades por conjunto.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FS160, FS220, FS280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605887</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30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R$49,41</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1.482,30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50</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Sabre 40cm, para motosserra.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40 cm (ou 16 polegadas).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da Canaleta: 1,6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 de alta resistência tratado termicamente.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Aproximadamente 500g a 600g.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Sabre Rollomatic 40 cm 325" para Motosserras Stihl MS260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Normal"/>
              <w:spacing w:before="0" w:after="200"/>
              <w:jc w:val="center"/>
              <w:rPr>
                <w:sz w:val="24"/>
                <w:szCs w:val="24"/>
              </w:rPr>
            </w:pPr>
            <w:r>
              <w:rPr>
                <w:rFonts w:ascii="Times New Roman" w:hAnsi="Times New Roman"/>
                <w:sz w:val="24"/>
                <w:szCs w:val="24"/>
              </w:rPr>
              <w:t>338035</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R$233,46</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2.801,52</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51</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Rolamento 6201 – virabrequim.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Rolamento: Rolamento 6201 de esferas.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Interno: 12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Externo: 32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10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 carbono ou aço cromado de alta resistência ao desgaste e à corrosão.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Vedação: Vedação em borracha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Velocidade Máxima de Rotação: Suporta até 10.000 rpm ou mais, para motores 2 tempos.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FS160, FS220, FS280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Normal"/>
              <w:spacing w:before="0" w:after="200"/>
              <w:jc w:val="center"/>
              <w:rPr>
                <w:sz w:val="24"/>
                <w:szCs w:val="24"/>
              </w:rPr>
            </w:pPr>
            <w:r>
              <w:rPr>
                <w:rFonts w:ascii="Times New Roman" w:hAnsi="Times New Roman"/>
                <w:sz w:val="24"/>
                <w:szCs w:val="24"/>
              </w:rPr>
              <w:t>605751</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40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R$16,47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658,80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52</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Porca da Lâmina.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Porca: Porca hexagonal M12 x 1,50 Esquerda (rosca invertida).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Interno (Rosca): 12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Passo da Rosca: 1,50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Sentido da Rosca: Esquerda (anti-horário).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 de alta resistência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Formato: Hexagonal (com 6 faces) para fácil instalação e fixação com chave adequada.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FS160, FS220, FS280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Normal"/>
              <w:spacing w:before="0" w:after="200"/>
              <w:jc w:val="center"/>
              <w:rPr>
                <w:sz w:val="24"/>
                <w:szCs w:val="24"/>
              </w:rPr>
            </w:pPr>
            <w:r>
              <w:rPr>
                <w:rFonts w:ascii="Times New Roman" w:hAnsi="Times New Roman"/>
                <w:sz w:val="24"/>
                <w:szCs w:val="24"/>
              </w:rPr>
              <w:t>613857</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100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R$18,97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1.897,00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53</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Avental de proteção.</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Laminado de PVC (camadas externas) e forro de polietileno expandido.</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Propriedade: Impermeável.</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Ajuste: Fechamento por amarração.</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Impermeabilidade: Totalmente impermeável, garantindo a proteção do usuário contra líquidos e agentes químicos.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120 cm (± 5%)</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70 cm (± 5%)</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Líquido: 85 g (± 10%)</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Avental 2D Brasil</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Normal"/>
              <w:spacing w:before="0" w:after="200"/>
              <w:jc w:val="center"/>
              <w:rPr>
                <w:sz w:val="24"/>
                <w:szCs w:val="24"/>
              </w:rPr>
            </w:pPr>
            <w:r>
              <w:rPr>
                <w:rFonts w:ascii="Times New Roman" w:hAnsi="Times New Roman"/>
                <w:sz w:val="24"/>
                <w:szCs w:val="24"/>
              </w:rPr>
              <w:t>621679</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20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R$78,96</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1.579,20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54</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Alicate de Pressão Mordente Triangular.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Tamanho: 10" (aproximadamente 25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 carbono com tratamento térmico para maior resistência.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Mordente: Triangular, oferecendo maior contato e poder de fixação.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Acabamento: Revestimento em verniz ou pintura antioxidante, para proteção contra corrosão.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Ajuste: Ajuste rápido de pressão para diferentes tamanhos de peças.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Capacidade de Abertura: Aproximadamente 40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Garantia: Garantia vitalícia contra defeitos de fabricação.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Tramontina 41070110.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Normal"/>
              <w:spacing w:before="0" w:after="200"/>
              <w:jc w:val="center"/>
              <w:rPr>
                <w:sz w:val="24"/>
                <w:szCs w:val="24"/>
              </w:rPr>
            </w:pPr>
            <w:r>
              <w:rPr>
                <w:rFonts w:ascii="Times New Roman" w:hAnsi="Times New Roman"/>
                <w:sz w:val="24"/>
                <w:szCs w:val="24"/>
              </w:rPr>
              <w:t>606408</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05</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R$57,75</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288,75</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55</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Alicate de bico Longo.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 de Cromo-Vanádio, com alta resistência e durabilidade.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Cor: Azul/Amarelo e Prata.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Tamanho: 6" (aproximadamente 15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Usos Específicos: Alicate para agarrar, torcer e cortar materiais.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1,27 x 5,72 x 20,83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540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IRWIN 1864035</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Normal"/>
              <w:spacing w:before="0" w:after="200"/>
              <w:jc w:val="center"/>
              <w:rPr>
                <w:sz w:val="24"/>
                <w:szCs w:val="24"/>
              </w:rPr>
            </w:pPr>
            <w:r>
              <w:rPr>
                <w:rFonts w:ascii="Times New Roman" w:hAnsi="Times New Roman"/>
                <w:sz w:val="24"/>
                <w:szCs w:val="24"/>
              </w:rPr>
              <w:t>405094</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05</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R$50,57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252,85</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56</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Alicate Universal.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Tamanho: 8" (200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Fabricado em aço carbono de alta resistência, com revestimento anti-corrosão (verniz ou pintura).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Alicate: Universal - Adequado para tarefas de segurar, torcer, cortar e manutenção geral.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Cabo: Ergonômico e com revestimento antiderrapante para maior conforto e aderência.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Aproximadamente 200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IRWIN 78934</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614518</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03</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R$51,30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153,90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57</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Jogo de chave allen</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 Cromado Vanádio, com acabamento cromado.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Cabeça: Hexagonal.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Tamanho: De 1/16" a 3/8".</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Componentes Incluídos: 1 jogo de chaves Allen abauladas.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do Produto: 100 cm x 290 cm x 40 cm (peso de 0,39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Vonder VDO716</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602285</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03</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R$47,66</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142,98</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58</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Chave Combinada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Composição: Aço de alta resistência tratado termicamente.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Tratamento: Cromado, garantindo resistência à corrosão e ao desgaste.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Acabamento: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Cromado: Acabamento para proteção contra oxidação e maior durabilidade.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Extremidades: Boca fixa (aberta) e estrela (anel).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Ergonomia: Cabo com formato anatômico para proporcionar maior conforto.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Medidas: 13x19mm.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Total da Chave: 65 mm (largura da chave, medida na parte mais larga do corpo da chave).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do Cabo: 140 mm (comprimento do cabo, para manuseio confortável).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Fenda: 8 mm (espessura do corpo da chave).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4128-890-3400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621135</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04</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R$50,50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202,00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59</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Jogo de chaves de Fenda e Philips.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Chaves Phillips: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1 x Chave Phillips 1/8” x 3"</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1 x Chave Phillips 3/16” x 3"</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1 x Chave Phillips 3/16” x 4"</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Chaves de Fenda: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1 x Chave Fenda 1/8” x 3"</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1 x Chave Fenda 3/16” x 4"</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1 x Chave Fenda 1/4” x 6"</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Chave de Fenda com Clip:</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1 x Chave Fenda 1/8” x 3" com Clip (ideal para armazenamento e transporte facilitado).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das Hastes: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Aço carbono temperado, garantindo alta resistência ao desgaste e maior durabilidade.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Acabamento das Hastes: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Niquelado, para proteção contra a corrosão e melhor acabamento.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Cabeça: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Phillips (estrela) para parafusos de cruzado.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Fenda para parafusos de fenda simples.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Características dos Cabos: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Injetados em material de alta resistência para maior durabilidade.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Antiderrapante, proporcionando segurança e controle durante o uso.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Tramontina-43408115</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283956</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b w:val="false"/>
                <w:i w:val="false"/>
                <w:strike w:val="false"/>
                <w:dstrike w:val="false"/>
                <w:color w:val="000000"/>
                <w:position w:val="0"/>
                <w:sz w:val="24"/>
                <w:sz w:val="24"/>
                <w:szCs w:val="24"/>
                <w:u w:val="none"/>
                <w:vertAlign w:val="baseline"/>
              </w:rPr>
              <w:t>R$ 49,66</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b w:val="false"/>
                <w:i w:val="false"/>
                <w:strike w:val="false"/>
                <w:dstrike w:val="false"/>
                <w:color w:val="000000"/>
                <w:position w:val="0"/>
                <w:sz w:val="24"/>
                <w:sz w:val="24"/>
                <w:szCs w:val="24"/>
                <w:u w:val="none"/>
                <w:vertAlign w:val="baseline"/>
              </w:rPr>
              <w:t>R$ 595,92</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60</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Pino fixador para roçadeiras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do Pino: 50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10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rosca: Rosca interna M10.</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Aço-carbono de alta resistência.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Acabamento: Galvanizado.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Função: Fixação de lâmina ou cabeçote de corte.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FS 240, FS 250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13634</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15</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R$23,37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350,55</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61</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Óculos de proteção.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das Lentes: Plástico resistente e flexível.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Proteção UV: Lentes com proteção contra radiação UVA e UVB.</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Revestimento: Antirrisco, antirreflexo, e antifogo.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da Armação: Plástico flexível ou PVC, ajuste confortável.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armação: Armação integral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total da armação:14 cm a 16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das hastes: 12 cm a 14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Aproximadamente 40 g a 60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Espessamento interno: 1 a 1,5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total do óculos: 5,5 cm a 6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Óculos de proteção Volk - CA 42718</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19922</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100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R$15,33</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1.533,00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62</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Abafador de ruídos tipo concha.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das Conchas: Plástico de alta resistência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Almofadas: Espuma de alta densidade para vedação acústica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Cor: Amarelo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Atenuação Sonora (SNR): Entre 25 dB e 30 dB (mínimo).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Ajuste: Arco ajustável para diferentes tamanhos de cabeça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aproximado: 250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aproximadas: 20 x 25 x 10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Composição: 1 par de abafadores.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ARV 200 Vonder - VDO2252</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453744</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40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R$27,50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1.100,00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63</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Cinta de proteção e suporte para ombro.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Aplicação: Uso em roçadeiras e outros equipamentos motorizados.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2. Características do Produto: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Cinta: Cinta dupla para ombro, com almofadas acolchoadas para maior conforto e suporte.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Ajuste: Cinta com regulagens para garantir o ajuste adequado a diferentes tamanhos e formatos de corpo.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Alças e cinta feitas de materiais duráveis e resistentes, como nylon ou poliéster de alta resistência.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Almofadas acolchoadas com material espumado de alta densidade para absorção de impactos e maior conforto.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4119-710-9001.</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624182</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82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R$160,67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13.174,94</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64</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Perneira de proteção.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Couro de alta resistência, nylon reforçado ou tecido sintético (material de alta resistência).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Propriedades: Impermeável, resistente à abrasão e perfuração. O material deve ser resistente a picadas de serpentes (cobras) e outros animais peçonhentos.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Camada de Proteção: Possuir camada interna de reforço (tecido ou material sintético) que previna a penetração de picadas.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Interno: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Forro: Revestimento interno acolchoado para conforto, feito com material respirável e que evite o desconforto durante o uso prolongado.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A espessura do material interno pode variar entre 1mm e 3mm, para garantir proteção sem comprometer a mobilidade.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Fechamento: velcro de alta resistência.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Ajuste: O sistema de fecho deve ser ajustável para se adaptar a diferentes tamanhos de perna.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da Circunferência em Cima (parte superior da perneira): 42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da Circunferência em Baixo (parte inferior da perneira): 34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Total da Perneira (do topo até a parte inferior): 40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Tecmater: 38087.</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265264</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40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R$88,66</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3.546,40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65</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Protetor Facial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Produto: Suporte facial com catraca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Malha de PVC resistente (espessura de 3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Tamanho: 8"x12" (aproximadamente 20 cm x 30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 Arnês: Sim, ajustável.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Ajustável: Sistema de catraca para ajuste de tamanho de cabeça.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PVC de alta resistência, leve e durável.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Catraca: Ajuste fácil e rápido com catraca de plástico ou aço.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Conforto: Arnês e forro acolchoado para conforto durante o uso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Proteção: Ideal para proteger contra partículas e estilhaços leves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3 mm, proporcionando boa proteção sem prejudicar a ventilação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Malha: 8"x12" (20 cm x 30 cm)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do PVC: 3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Ajuste: Catrapa ajustável para diferentes tamanhos de cabeça (aprox. 50 cm a 60 cm de circunferência)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aproximadamente 300g a 600g.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Acaparts: Protetor Facial</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483011</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40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R$79,00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3.160,00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66</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Lima redonda.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Composição: Aço carbono de alta qualidade, tratado termicamente para maior durabilidade e resistência ao desgaste.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Acabamento: Superfície polida e sem rebarbas para maior precisão no uso.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4 mm (valor exato)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200 mm (valor exato)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Tolerância de Dimensões: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O diâmetro de 4 mm deve ter uma tolerância de ±0,1 mm para garantir o ajuste correto em diversos tipos de correntes e ferramentas.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O comprimento de 200 mm tem uma tolerância de ±1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cerca de 50 g a 70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Aplicações Recomendadas: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Afiação de correntes de motosserras.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Afiação de ferramentas de corte, como facas, tesouras e lâminas em geral.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Lima Redonda STIHL 4x200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621821</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50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R$14,57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728,50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67</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Lima redonda.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Composição: Aço carbono de alta qualidade, tratado termicamente para maior durabilidade e resistência ao desgaste.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Acabamento: Superfície polida e sem rebarbas para maior precisão no uso.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4,8 mm (valor exato)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200 mm (valor exato)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Tolerância de Dimensões: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O diâmetro de 4,8 mm deve ter uma tolerância de ±0,1 mm para garantir o ajuste correto em diversos tipos de correntes e ferramentas.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O comprimento de 200 mm tem uma tolerância de ±1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cerca de 50 g a 80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Aplicações Recomendadas: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Afiação de correntes de motosserras.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Afiação de ferramentas de corte, como facas, tesouras e lâminas em geral.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Lima Redonda STIHL 4,8x200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621821</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50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R$14,30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715,00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68</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Lima redonda.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Composição: Aço carbono de alta qualidade, tratado termicamente para maior durabilidade e resistência ao desgaste.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Acabamento: Superfície polida e sem rebarbas para maior precisão no uso.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5,2 mm (valor exato)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200 mm (valor exato)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Tolerância de Dimensões: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O diâmetro de 5,2 mm deve ter uma tolerância de ±0,1 mm para garantir o ajuste correto em diversos tipos de correntes e ferramentas.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O comprimento de 200 mm tem uma tolerância de ±1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cerca de 60 g a 90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Aplicações Recomendadas: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Afiação de correntes de motosserras.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Afiação de ferramentas de corte, como facas, tesouras e lâminas em geral.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Lima Redonda STIHL 5,2x200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621821</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50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R$16,17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808,50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69</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Lima redonda.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Composição: Aço carbono de alta qualidade, tratado termicamente para maior durabilidade e resistência ao desgaste.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Acabamento: Superfície polida e sem rebarbas para maior precisão no uso.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3,2 mm (valor exato)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200 mm (valor exato)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Tolerância de Dimensões: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O diâmetro de 3,2 mm deve ter uma tolerância de ±0,1 mm para garantir o ajuste correto em diversos tipos de correntes e ferramentas.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O comprimento de 200 mm tem uma tolerância de ±1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cerca de 40 g a 70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Aplicações Recomendadas: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Afiação de correntes de motosserras.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Afiação de ferramentas de corte, como facas, tesouras e lâminas em geral.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Lima Redonda STIHL 3,2x200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621821</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50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R$15,65</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782,50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70</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Carburador para motosserra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Corpo em alumínio fundido ou material de alta resistência.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Diafragmas em borracha ou elastômero resistente a combustíveis.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Sistema interno com componentes em aço inoxidável para maior durabilidade.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Sistema de Ajuste: Parafusos de ajuste para mistura de ar-combustível e marcha lenta.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Aproximado: 250 g a 300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(Aproximadas):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100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80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Profundidade: 60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da entrada de combustível: 12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da saída de ar: 18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Conexões: Entradas e saídas para combustível e ar com vedação segura para evitar vazamentos.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 1144/26</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Compatibilidade: Motosserra STIHL MS 661</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397824</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03</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R$424,83</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1.274,49</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71</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Corrente de motosserra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Passo da Corrente: 3/8”</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(Calibre): 1,5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Número de Elos (Gomos): 64 elos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Perfil do Dente: Semiquadrado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Aço de alta resistência, com tratamento térmico para garantir maior durabilidade e resistência ao desgaste.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MS 362, MS 661, MS 391</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486102</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R$149,78</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1.797,36f</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72</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Filtro de Ar, para motosserra 661.</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Filtro de Espuma: Espuma de alta densidade, sintética, que pode ser limpa e reutilizada, garantindo maior durabilidade.</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Filtro de Papel: Microfibra de alta resistência para melhor filtragem de partículas finas.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Aproximadas: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120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80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40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Aproximado: 50 g a 70 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Compatibilidade: Motosserra STIHL MS 651 e MS 661.</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264177</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04</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R$75,03</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300,12</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73</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Bomba de óleo para motosserra.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Metal.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Capacidade de Fluxo de Óleo: Aproximadamente 100 a 200 mL/min (ajustável).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Dimensões (L x A x P): 120 mm x 80 mm x 60 mm (aproximadas).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100 a 120 gramas (aproximado).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Conexão: Tipo rosca ou encaixe rápido.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Acessórios Inclusos: Parafusos de fixação, vedações e manual de instalação.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MS066, MS660 e MS650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266102</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04</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R$402,22</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1.608,88</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74</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Motosserra a gasolina, motor 2 Tempos, MS260.</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Potência Nominal: 2,6 kW (3,5 cv).</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Cilindrada do Motor: 50,2 cm³</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Motor: 2 Tempos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Sistema de Ignição: Eletrônico.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do Sabre: 40 cm (16 polegadas)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Corrente: 26 RS Rapid Super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Passo da Corrente: 0,325 polegadas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da Motosserra: 4,9 kg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Nível de Pressão Sonora: 99 dB(A)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Nível de Potência Sonora: 113 dB(A)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Vibração na Lateral Esquerda: 3,6 m/s²</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Vibração na Lateral Direita: 4,1 m/s²</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Tanques de Combustível e Óleo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Capacidade do Tanque de Combustível: 460 ml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Capacidade do Tanque de Óleo: 290 ml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Sistema de lubrificação da corrente: Automático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Requisitos de segurança: Deve possuir dispositivo de parada rápida da corrente e sistema de amortecimento de vibrações para maior conforto do operador.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Motosserra STIHL 260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rFonts w:ascii="Times New Roman" w:hAnsi="Times New Roman" w:cs="Times New Roman"/>
                <w:b w:val="false"/>
                <w:bCs w:val="false"/>
                <w:color w:val="auto"/>
                <w:sz w:val="24"/>
                <w:szCs w:val="24"/>
              </w:rPr>
            </w:pPr>
            <w:r>
              <w:rPr>
                <w:rFonts w:cs="Times New Roman" w:ascii="Times New Roman" w:hAnsi="Times New Roman"/>
                <w:b w:val="false"/>
                <w:bCs w:val="false"/>
                <w:color w:val="auto"/>
                <w:sz w:val="24"/>
                <w:szCs w:val="24"/>
              </w:rPr>
            </w:r>
          </w:p>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295590</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R$2.849,33</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5.698,66</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75</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Motosserra a gasolina, motor 2 Tempos, MS310.</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Potência Nominal: 3,2 kW (4,4 cv).</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Cilindrada do Motor: 59 cm³</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Motor: 2 Tempos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Sistema de Ignição: Eletrônico.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do Sabre: 40 cm (16 polegadas)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Corrente: 36 RS Rapid Super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Passo da Corrente: 3/8 polegadas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da Motosserra: 6,1 kg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Nível de Pressão Sonora: 102 dB(A)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Nível de Potência Sonora: 115 dB(A)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Vibração na Lateral Esquerda: 4,3 m/s²</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Vibração na Lateral Direita: 4,7 m/s²</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Tanques de Combustível e Óleo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Capacidade do Tanque de Combustível: 560 mL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Capacidade do Tanque de Óleo: 330 mL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Sistema de lubrificação da corrente: Automático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Requisitos de segurança: Deve possuir dispositivo de parada rápida da corrente e sistema de amortecimento de vibrações para maior conforto do operador.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Motosserra STIHL 310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295594</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R$3.042,33</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6.084,66</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76</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Carburador completo de moto podas.</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de Fabricação: Alumínio e plástico resistente, projetado para suportar as vibrações e a exigência dos equipamentos de jardinagem e agricultura.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80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Largura: 60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Altura: 40 mm</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200 a 250 gramas (aproximado).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HT 131, HT 133</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397824</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R$340,93</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4.091,16</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77</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Vela de Ignição para soprador de folhagem.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do Eletrodo: Composto de níquel ou material similar para resistência ao desgaste.</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Padrão de Rosca: M10 x 1.0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Tensão: Vela padrão para motores pequenos e médios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Revestimento: Resistência à alta temperatura e pressão</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Isolador: Com isolador cerâmico de alta qualidade.</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Diâmetro: Aproximadamente 12 mm (rosca da vela)</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Aproximadamente 40 mm</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Aproximadamente 30 g a 50 g</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Resistência: entre 3kΩ e 5kΩ</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CMR6H (NGK) OU BOSCH R10</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Compatível:</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BG 56, STIHL BG 86, STIHL BR-600, STIHL 462 ESTIHL HT 131</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361240</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R$37,61</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376,10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78</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Roçadeira a gasolina, motor 2 Tempos, fs220.</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Cilindrada: 35,2 cm³</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Potência: 1,7 kW / 2,3 bhp</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7,7 kg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Valor de vibração esquerda: 3,5 m/s²</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Motor: 2 tempos, de alto desempenho.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Sistema de ignição: Transistorized (eletrônico).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Tanque de combustível: Aproximadamente 0,55 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FS 220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244202</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R$3.912,33</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7.824,66</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79</w:t>
            </w:r>
          </w:p>
        </w:tc>
        <w:tc>
          <w:tcPr>
            <w:tcW w:w="4652" w:type="dxa"/>
            <w:tcBorders>
              <w:left w:val="single" w:sz="4" w:space="0" w:color="000000"/>
              <w:bottom w:val="single" w:sz="4" w:space="0" w:color="000000"/>
            </w:tcBorders>
            <w:vAlign w:val="center"/>
          </w:tcPr>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Roçadeira a gasolina, motor 2 Tempos, fs290.</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Cilindrada: 38,9 cm³</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Potência: 2 kW / 2,7 bhp</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Peso: 7,9 kg</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Valor de vibração esquerda: 4,7 m/s²</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Motor: 2 tempos, de alto desempenho.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Sistema de ignição: Transistorized (eletrônico).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color w:val="000000"/>
                <w:sz w:val="24"/>
                <w:szCs w:val="24"/>
                <w:lang w:val="pt-BR"/>
              </w:rPr>
              <w:t>Tanque de combustível: Aproximadamente 0,75 L</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FS 290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shd w:val="clear" w:color="auto" w:fill="FFFFFF"/>
              <w:spacing w:lineRule="atLeast" w:line="276" w:before="0" w:after="0"/>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295582</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02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R$4.512,33</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9.024,66</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80</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Tampa da partida completa para motosserra.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Material da Tampa: Plástico de alta resistência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Composição: Polipropileno (PP) ou material similar com resistência a impactos e altas temperaturas. Componentes da Tampa da Partida Completa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Tampa de Partida: Parte principal que cobre e protege o mecanismo interno.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Polia: Polia interna de rotação, feita de plástico ou alumínio.</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Corda de Partida: Corda de partida de alta resistência, normalmente fabricada em material sintético (nylon ou poliéster).</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Botão de Pressão: Sistema de trava ou botão para prender a corda de partida.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Dimensões Aproximadas</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da Tampa: Aproximadamente 15 cm a 18 cm (medido na parte externa).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Altura da Tampa: Aproximadamente 5 cm a 7 cm.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Corda de Partida: Comprimento aproximado de 3 a 4 metros.</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da Corda: Aproximadamente 3 mm a 4 mm de espessura.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Fixação da Tampa: com parafusos de encaixe ou sistema de trava.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Partida Manual: Sistema tradicional de arranque com corda, acionado manualmente.</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Mecanismo: Aciona o motor através da polia que gira a partir do puxar da corda de partida.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Stihl 025, Stihl 210, Stihl 230 e Stihl 250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263702</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40</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R$59,10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2.364,00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81</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Kit Reparo do Carburador</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Tamanho das Juntas:</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interno: Aproximadamente 10 mm a 12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externo: 18 mm a 22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Espessura: 0,5 mm a 1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Diafragma de Combustível (ou Membranas)</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Tamanho do Diafragma:</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externo: 24 mm a 28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Espessura do diafragma: 0,5 mm a 1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Agulha do Carburador</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Comprimento: Aproximadamente 30 mm a 40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2 mm a 3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Material: feita de aço inoxidável para resistir ao desgaste.</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Mola do Carburador</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Comprimento: Aproximadamente 25 mm a 30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externo: 4 mm a 6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do fio: 0,5 mm a 1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Parafusos e Componentes Menores</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Comprimento: Varia de 10 mm a 20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Diâmetro: 3 mm a 4 mm</w:t>
            </w:r>
          </w:p>
          <w:p>
            <w:pPr>
              <w:pStyle w:val="Standard"/>
              <w:ind w:hanging="0" w:left="0" w:right="0"/>
              <w:jc w:val="both"/>
              <w:rPr>
                <w:rFonts w:ascii="Times New Roman" w:hAnsi="Times New Roman"/>
                <w:sz w:val="24"/>
                <w:szCs w:val="24"/>
              </w:rPr>
            </w:pPr>
            <w:r>
              <w:rPr>
                <w:rFonts w:cs="Times New Roman" w:ascii="Times New Roman" w:hAnsi="Times New Roman"/>
                <w:b w:val="false"/>
                <w:color w:val="000000"/>
                <w:sz w:val="24"/>
                <w:szCs w:val="24"/>
                <w:lang w:val="pt-BR"/>
              </w:rPr>
              <w:t>Material: aço inoxidável ou latão para resistir ao desgaste e corrosão.</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Compatíveis: Stihl FS160, FS220</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397855</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82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R$20,90</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1.713,80</w:t>
            </w:r>
          </w:p>
        </w:tc>
      </w:tr>
      <w:tr>
        <w:trPr>
          <w:trHeight w:val="1689" w:hRule="atLeast"/>
        </w:trPr>
        <w:tc>
          <w:tcPr>
            <w:tcW w:w="627"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82</w:t>
            </w:r>
          </w:p>
        </w:tc>
        <w:tc>
          <w:tcPr>
            <w:tcW w:w="4652" w:type="dxa"/>
            <w:tcBorders>
              <w:left w:val="single" w:sz="4" w:space="0" w:color="000000"/>
              <w:bottom w:val="single" w:sz="4" w:space="0" w:color="000000"/>
            </w:tcBorders>
            <w:vAlign w:val="center"/>
          </w:tcPr>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Sabre 50cm, para motosserra.</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Comprimento do Sabre:</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50 cm (aproximadamente 20 polegadas).</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Espessura da Corrente (Passo):</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1.6 mm (espessura da corrente da motosserra, medida na parte onde a corrente se encaixa no sabre).</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Material do Sabre:</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Aço de Alta Qualidade: aço de alta resistência, longa durabilidade, resistência ao desgaste e melhor desempenho durante o uso.</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Tipo de Sabre:</w:t>
            </w:r>
          </w:p>
          <w:p>
            <w:pPr>
              <w:pStyle w:val="Standard"/>
              <w:ind w:hanging="0" w:left="0" w:right="0"/>
              <w:jc w:val="both"/>
              <w:rPr>
                <w:rFonts w:ascii="Times New Roman" w:hAnsi="Times New Roman"/>
                <w:sz w:val="24"/>
                <w:szCs w:val="24"/>
              </w:rPr>
            </w:pPr>
            <w:r>
              <w:rPr>
                <w:rFonts w:cs="Times New Roman" w:ascii="Times New Roman" w:hAnsi="Times New Roman"/>
                <w:color w:val="000000"/>
                <w:sz w:val="24"/>
                <w:szCs w:val="24"/>
                <w:lang w:val="pt-BR"/>
              </w:rPr>
              <w:t>Sabre S: Sabre de uso profissional, oferecendo resistência e estabilidade em cortes de madeira</w:t>
            </w:r>
          </w:p>
          <w:p>
            <w:pPr>
              <w:pStyle w:val="Standard"/>
              <w:shd w:val="clear" w:color="auto" w:fill="FFFFFF"/>
              <w:spacing w:lineRule="atLeast" w:line="276" w:before="0" w:after="0"/>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Modelos de referência podendo ser igual ou superior:</w:t>
            </w:r>
          </w:p>
          <w:p>
            <w:pPr>
              <w:pStyle w:val="Standard"/>
              <w:ind w:hanging="0" w:left="0" w:right="0"/>
              <w:jc w:val="both"/>
              <w:rPr>
                <w:rFonts w:ascii="Times New Roman" w:hAnsi="Times New Roman"/>
                <w:sz w:val="24"/>
                <w:szCs w:val="24"/>
              </w:rPr>
            </w:pPr>
            <w:r>
              <w:rPr>
                <w:rFonts w:cs="Times New Roman" w:ascii="Times New Roman" w:hAnsi="Times New Roman"/>
                <w:b/>
                <w:color w:val="000000"/>
                <w:sz w:val="24"/>
                <w:szCs w:val="24"/>
                <w:lang w:val="pt-BR"/>
              </w:rPr>
              <w:t>Modelo: Sabre Stihl 50cm 1.6mm</w:t>
            </w:r>
          </w:p>
        </w:tc>
        <w:tc>
          <w:tcPr>
            <w:tcW w:w="67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Und</w:t>
            </w:r>
          </w:p>
        </w:tc>
        <w:tc>
          <w:tcPr>
            <w:tcW w:w="855" w:type="dxa"/>
            <w:tcBorders>
              <w:left w:val="single" w:sz="4" w:space="0" w:color="000000"/>
              <w:bottom w:val="single" w:sz="4" w:space="0" w:color="000000"/>
              <w:right w:val="single" w:sz="4" w:space="0" w:color="000000"/>
            </w:tcBorders>
            <w:vAlign w:val="center"/>
          </w:tcPr>
          <w:p>
            <w:pPr>
              <w:pStyle w:val="Standard"/>
              <w:ind w:hanging="0" w:left="0" w:right="0"/>
              <w:jc w:val="center"/>
              <w:rPr>
                <w:sz w:val="24"/>
                <w:szCs w:val="24"/>
              </w:rPr>
            </w:pPr>
            <w:r>
              <w:rPr>
                <w:rFonts w:eastAsia="Times New Roman" w:cs="Times New Roman" w:ascii="Times New Roman" w:hAnsi="Times New Roman"/>
                <w:b w:val="false"/>
                <w:bCs w:val="false"/>
                <w:color w:val="auto"/>
                <w:sz w:val="24"/>
                <w:szCs w:val="24"/>
                <w:highlight w:val="white"/>
              </w:rPr>
              <w:t>237936</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4"/>
                <w:szCs w:val="24"/>
              </w:rPr>
            </w:pPr>
            <w:r>
              <w:rPr>
                <w:rFonts w:cs="Times New Roman" w:ascii="Times New Roman" w:hAnsi="Times New Roman"/>
                <w:color w:val="000000"/>
                <w:sz w:val="24"/>
                <w:szCs w:val="24"/>
                <w:lang w:val="pt-BR"/>
              </w:rPr>
              <w:t>12</w:t>
            </w:r>
          </w:p>
        </w:tc>
        <w:tc>
          <w:tcPr>
            <w:tcW w:w="1242"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R$348,97</w:t>
            </w:r>
          </w:p>
        </w:tc>
        <w:tc>
          <w:tcPr>
            <w:tcW w:w="1417" w:type="dxa"/>
            <w:tcBorders>
              <w:left w:val="single" w:sz="4" w:space="0" w:color="000000"/>
              <w:bottom w:val="single" w:sz="4" w:space="0" w:color="000000"/>
              <w:right w:val="single" w:sz="4" w:space="0" w:color="000000"/>
            </w:tcBorders>
            <w:vAlign w:val="center"/>
          </w:tcPr>
          <w:p>
            <w:pPr>
              <w:pStyle w:val="Normal"/>
              <w:spacing w:before="0" w:after="200"/>
              <w:jc w:val="center"/>
              <w:rPr>
                <w:rFonts w:ascii="Times New Roman" w:hAnsi="Times New Roman"/>
                <w:sz w:val="24"/>
                <w:szCs w:val="24"/>
              </w:rPr>
            </w:pPr>
            <w:r>
              <w:rPr>
                <w:rFonts w:eastAsia="Times New Roman" w:cs="Times New Roman" w:ascii="Times New Roman" w:hAnsi="Times New Roman"/>
                <w:sz w:val="24"/>
                <w:szCs w:val="24"/>
              </w:rPr>
              <w:t>R$</w:t>
            </w:r>
            <w:r>
              <w:rPr>
                <w:rFonts w:eastAsia="Times New Roman" w:cs="Times New Roman" w:ascii="Times New Roman" w:hAnsi="Times New Roman"/>
                <w:b w:val="false"/>
                <w:i w:val="false"/>
                <w:strike w:val="false"/>
                <w:dstrike w:val="false"/>
                <w:color w:val="000000"/>
                <w:sz w:val="24"/>
                <w:szCs w:val="24"/>
                <w:u w:val="none"/>
              </w:rPr>
              <w:t>4.187,64</w:t>
            </w:r>
          </w:p>
        </w:tc>
      </w:tr>
      <w:tr>
        <w:trPr>
          <w:trHeight w:val="314" w:hRule="atLeast"/>
        </w:trPr>
        <w:tc>
          <w:tcPr>
            <w:tcW w:w="7544" w:type="dxa"/>
            <w:gridSpan w:val="5"/>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caps w:val="false"/>
                <w:smallCaps w:val="false"/>
                <w:strike w:val="false"/>
                <w:dstrike w:val="false"/>
                <w:color w:val="000000"/>
                <w:spacing w:val="0"/>
                <w:sz w:val="20"/>
                <w:szCs w:val="20"/>
                <w:u w:val="none"/>
                <w:lang w:val="pt-BR"/>
              </w:rPr>
              <w:t>VALOR TOTAL</w:t>
            </w:r>
          </w:p>
        </w:tc>
        <w:tc>
          <w:tcPr>
            <w:tcW w:w="2659" w:type="dxa"/>
            <w:gridSpan w:val="2"/>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 xml:space="preserve">R$ </w:t>
            </w: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550.387,89</w:t>
            </w:r>
          </w:p>
        </w:tc>
      </w:tr>
    </w:tbl>
    <w:p>
      <w:pPr>
        <w:pStyle w:val="Normal"/>
        <w:ind w:hanging="0" w:left="0"/>
        <w:rPr>
          <w:rFonts w:ascii="Arial" w:hAnsi="Arial"/>
        </w:rPr>
      </w:pPr>
      <w:r>
        <w:rPr>
          <w:rFonts w:ascii="Arial" w:hAnsi="Arial"/>
        </w:rPr>
      </w:r>
    </w:p>
    <w:p>
      <w:pPr>
        <w:pStyle w:val="Normal"/>
        <w:numPr>
          <w:ilvl w:val="0"/>
          <w:numId w:val="0"/>
        </w:numPr>
        <w:ind w:hanging="0" w:left="0" w:right="0"/>
        <w:jc w:val="both"/>
        <w:rPr>
          <w:color w:val="000000"/>
        </w:rPr>
      </w:pPr>
      <w:r>
        <w:rPr>
          <w:color w:val="000000"/>
        </w:rPr>
      </w:r>
    </w:p>
    <w:p>
      <w:pPr>
        <w:pStyle w:val="Normal"/>
        <w:widowControl/>
        <w:suppressAutoHyphens w:val="true"/>
        <w:bidi w:val="0"/>
        <w:spacing w:lineRule="auto" w:line="276" w:before="0" w:after="0"/>
        <w:ind w:hanging="0" w:left="0" w:right="0"/>
        <w:jc w:val="both"/>
        <w:rPr>
          <w:rFonts w:ascii="Arial" w:hAnsi="Arial"/>
        </w:rPr>
      </w:pPr>
      <w:r>
        <w:rPr>
          <w:rFonts w:ascii="Arial" w:hAnsi="Arial"/>
        </w:rPr>
      </w:r>
    </w:p>
    <w:p>
      <w:pPr>
        <w:pStyle w:val="Nivel2"/>
        <w:numPr>
          <w:ilvl w:val="1"/>
          <w:numId w:val="123"/>
        </w:numPr>
        <w:ind w:hanging="0" w:left="0"/>
        <w:rPr>
          <w:rFonts w:ascii="Arial" w:hAnsi="Arial"/>
        </w:rPr>
      </w:pPr>
      <w:r>
        <w:rPr/>
        <w:t>Os bens objeto desta contratação são caracterizados como comuns, conforme justificativa constante do Estudo Técnico Preliminar.</w:t>
      </w:r>
    </w:p>
    <w:p>
      <w:pPr>
        <w:pStyle w:val="Nivel2"/>
        <w:numPr>
          <w:ilvl w:val="1"/>
          <w:numId w:val="124"/>
        </w:numPr>
        <w:ind w:hanging="0" w:left="0"/>
        <w:rPr>
          <w:rFonts w:ascii="Arial" w:hAnsi="Arial"/>
        </w:rPr>
      </w:pPr>
      <w:r>
        <w:rPr/>
        <w:t>O objeto desta contratação não se enquadra como sendo de bem de luxo, conforme Decreto nº 10.818, de 27 de setembro de 2021.</w:t>
      </w:r>
    </w:p>
    <w:p>
      <w:pPr>
        <w:pStyle w:val="Nvel2-Red"/>
        <w:numPr>
          <w:ilvl w:val="1"/>
          <w:numId w:val="125"/>
        </w:numPr>
        <w:ind w:hanging="0" w:left="0"/>
        <w:rPr>
          <w:rFonts w:ascii="Arial" w:hAnsi="Arial"/>
        </w:rPr>
      </w:pPr>
      <w:r>
        <w:rPr>
          <w:color w:val="000000"/>
        </w:rPr>
        <w:t>O prazo de vigência da contratação é de 1 (um) contados da data de homologação, na forma do artigo 105 da Lei n° 14.133, de 2021.</w:t>
      </w:r>
    </w:p>
    <w:p>
      <w:pPr>
        <w:pStyle w:val="Nivel2"/>
        <w:numPr>
          <w:ilvl w:val="1"/>
          <w:numId w:val="126"/>
        </w:numPr>
        <w:ind w:hanging="0" w:left="0"/>
        <w:rPr>
          <w:rFonts w:ascii="Arial" w:hAnsi="Arial"/>
        </w:rPr>
      </w:pPr>
      <w:r>
        <w:rPr/>
        <w:t>O contrato oferece maior detalhamento das regras que serão aplicadas em relação à vigência da contratação.</w:t>
      </w:r>
    </w:p>
    <w:p>
      <w:pPr>
        <w:pStyle w:val="Nivel01"/>
        <w:numPr>
          <w:ilvl w:val="0"/>
          <w:numId w:val="4"/>
        </w:numPr>
        <w:ind w:hanging="0" w:left="0"/>
        <w:rPr>
          <w:rFonts w:ascii="Arial" w:hAnsi="Arial"/>
        </w:rPr>
      </w:pPr>
      <w:r>
        <w:rPr/>
        <w:t>FUNDAMENTAÇÃO E DESCRIÇÃO DA NECESSIDADE DA CONTRATAÇÃO</w:t>
      </w:r>
    </w:p>
    <w:p>
      <w:pPr>
        <w:pStyle w:val="Nivel2"/>
        <w:numPr>
          <w:ilvl w:val="1"/>
          <w:numId w:val="127"/>
        </w:numPr>
        <w:ind w:hanging="0" w:left="0"/>
        <w:rPr>
          <w:rFonts w:ascii="Arial" w:hAnsi="Arial"/>
        </w:rPr>
      </w:pPr>
      <w:r>
        <w:rPr/>
        <w:t>A Fundamentação da Contratação e de seus quantitativos encontra-se pormenorizada em Tópico específico dos Estudos Técnicos Preliminares, apêndice deste Termo de Referência.</w:t>
      </w:r>
    </w:p>
    <w:p>
      <w:pPr>
        <w:pStyle w:val="Nvel2-Red"/>
        <w:numPr>
          <w:ilvl w:val="1"/>
          <w:numId w:val="128"/>
        </w:numPr>
        <w:ind w:hanging="0" w:left="0"/>
        <w:rPr>
          <w:rFonts w:ascii="Arial" w:hAnsi="Arial"/>
        </w:rPr>
      </w:pPr>
      <w:r>
        <w:rPr>
          <w:color w:val="000000"/>
        </w:rPr>
        <w:t>O objeto da contratação está previsto no Plano de Contratações Anual 2024, conforme consta das informações básicas desse termo de referência.</w:t>
      </w:r>
    </w:p>
    <w:p>
      <w:pPr>
        <w:pStyle w:val="Nivel01"/>
        <w:numPr>
          <w:ilvl w:val="0"/>
          <w:numId w:val="4"/>
        </w:numPr>
        <w:ind w:hanging="0" w:left="0"/>
        <w:rPr>
          <w:rFonts w:ascii="Arial" w:hAnsi="Arial"/>
        </w:rPr>
      </w:pPr>
      <w:r>
        <w:rPr/>
        <w:t>DESCRIÇÃO DA SOLUÇÃO COMO UM TODO CONSIDERADO O CICLO DE VIDA DO OBJETO E ESPECIFICAÇÃO DO PRODUTO</w:t>
      </w:r>
    </w:p>
    <w:p>
      <w:pPr>
        <w:pStyle w:val="Nvel2-Red"/>
        <w:numPr>
          <w:ilvl w:val="1"/>
          <w:numId w:val="129"/>
        </w:numPr>
        <w:ind w:hanging="0" w:left="0"/>
        <w:rPr>
          <w:rFonts w:ascii="Arial" w:hAnsi="Arial"/>
        </w:rPr>
      </w:pPr>
      <w:r>
        <w:rPr>
          <w:color w:val="000000"/>
        </w:rPr>
        <w:t>A descrição da solução como um todo encontra-se pormenorizada em tópico específico dos Estudos Técnicos Preliminares, apêndice deste Termo de Referência.</w:t>
      </w:r>
    </w:p>
    <w:p>
      <w:pPr>
        <w:pStyle w:val="Nivel01"/>
        <w:numPr>
          <w:ilvl w:val="0"/>
          <w:numId w:val="4"/>
        </w:numPr>
        <w:ind w:hanging="0" w:left="0"/>
        <w:rPr>
          <w:rFonts w:ascii="Arial" w:hAnsi="Arial"/>
        </w:rPr>
      </w:pPr>
      <w:r>
        <w:rPr/>
        <w:t>REQUISITOS DA CONTRATAÇÃO</w:t>
      </w:r>
    </w:p>
    <w:p>
      <w:pPr>
        <w:pStyle w:val="Nvel1-SemNumPreto"/>
        <w:ind w:hanging="0" w:left="0"/>
        <w:rPr>
          <w:rFonts w:ascii="Arial" w:hAnsi="Arial"/>
        </w:rPr>
      </w:pPr>
      <w:r>
        <w:rPr/>
        <w:t>Sustentabilidade:</w:t>
      </w:r>
    </w:p>
    <w:p>
      <w:pPr>
        <w:pStyle w:val="Nivel2"/>
        <w:numPr>
          <w:ilvl w:val="1"/>
          <w:numId w:val="130"/>
        </w:numPr>
        <w:ind w:hanging="0" w:left="0"/>
        <w:rPr>
          <w:rFonts w:ascii="Arial" w:hAnsi="Arial"/>
        </w:rPr>
      </w:pPr>
      <w:r>
        <w:rPr/>
        <w:t xml:space="preserve">Além dos critérios de sustentabilidade eventualmente inseridos na descrição do objeto, devem ser atendidos os seguintes requisitos, que se baseiam no Guia Nacional de Contratações Sustentáveis e </w:t>
      </w:r>
      <w:r>
        <w:rPr>
          <w:color w:val="000000"/>
          <w:sz w:val="20"/>
        </w:rPr>
        <w:t>de justificativas técnicas relevantes.</w:t>
      </w:r>
    </w:p>
    <w:p>
      <w:pPr>
        <w:pStyle w:val="Nvel1-SemNumPreto"/>
        <w:ind w:hanging="0" w:left="0"/>
        <w:rPr>
          <w:rFonts w:ascii="Arial" w:hAnsi="Arial"/>
        </w:rPr>
      </w:pPr>
      <w:r>
        <w:rPr/>
        <w:t>Subcontratação</w:t>
      </w:r>
    </w:p>
    <w:p>
      <w:pPr>
        <w:pStyle w:val="Nivel2"/>
        <w:numPr>
          <w:ilvl w:val="1"/>
          <w:numId w:val="131"/>
        </w:numPr>
        <w:ind w:hanging="0" w:left="0"/>
        <w:rPr>
          <w:rFonts w:ascii="Arial" w:hAnsi="Arial"/>
        </w:rPr>
      </w:pPr>
      <w:r>
        <w:rPr/>
        <w:t>Não é admitida a subcontratação do objeto contratual.</w:t>
      </w:r>
    </w:p>
    <w:p>
      <w:pPr>
        <w:pStyle w:val="Nvel2-Red"/>
        <w:numPr>
          <w:ilvl w:val="1"/>
          <w:numId w:val="132"/>
        </w:numPr>
        <w:ind w:hanging="0" w:left="0"/>
        <w:rPr/>
      </w:pPr>
      <w:r>
        <w:rPr>
          <w:color w:val="000000"/>
        </w:rPr>
        <w:t xml:space="preserve">Não haverá exigência da garantia da contratação dos </w:t>
      </w:r>
      <w:r>
        <w:fldChar w:fldCharType="begin"/>
      </w:r>
      <w:r>
        <w:rPr>
          <w:rStyle w:val="Hyperlink"/>
          <w:color w:themeColor="hyperlink" w:val="000000"/>
        </w:rPr>
        <w:instrText xml:space="preserve"> HYPERLINK "http://www.planalto.gov.br/ccivil_03/_ato2019-2022/2021/lei/L14133.htm" \l "art96"</w:instrText>
      </w:r>
      <w:r>
        <w:rPr>
          <w:rStyle w:val="Hyperlink"/>
          <w:color w:themeColor="hyperlink" w:val="000000"/>
        </w:rPr>
        <w:fldChar w:fldCharType="separate"/>
      </w:r>
      <w:r>
        <w:rPr>
          <w:rStyle w:val="Hyperlink"/>
          <w:color w:themeColor="hyperlink" w:val="000000"/>
        </w:rPr>
        <w:t>artigos 96 e seguintes da Lei nº 14.133, de 2021</w:t>
      </w:r>
      <w:r>
        <w:rPr>
          <w:rStyle w:val="Hyperlink"/>
          <w:color w:themeColor="hyperlink" w:val="000000"/>
        </w:rPr>
        <w:fldChar w:fldCharType="end"/>
      </w:r>
      <w:r>
        <w:rPr>
          <w:color w:val="000000"/>
        </w:rPr>
        <w:t>, pelas razões constantes do Estudo Técnico Preliminar.</w:t>
      </w:r>
    </w:p>
    <w:p>
      <w:pPr>
        <w:pStyle w:val="Nivel2"/>
        <w:numPr>
          <w:ilvl w:val="1"/>
          <w:numId w:val="133"/>
        </w:numPr>
        <w:ind w:hanging="0" w:left="0"/>
        <w:rPr>
          <w:rFonts w:ascii="Arial" w:hAnsi="Arial"/>
        </w:rPr>
      </w:pPr>
      <w:r>
        <w:rPr/>
        <w:t>O contrato oferece maior detalhamento das regras que serão aplicadas em relação à garantia da contratação.</w:t>
      </w:r>
    </w:p>
    <w:p>
      <w:pPr>
        <w:pStyle w:val="Nivel01"/>
        <w:numPr>
          <w:ilvl w:val="0"/>
          <w:numId w:val="4"/>
        </w:numPr>
        <w:ind w:hanging="0" w:left="0"/>
        <w:rPr>
          <w:rFonts w:ascii="Arial" w:hAnsi="Arial"/>
        </w:rPr>
      </w:pPr>
      <w:r>
        <w:rPr/>
        <w:t>MODELO DE EXECUÇÃO DO OBJETO</w:t>
      </w:r>
    </w:p>
    <w:p>
      <w:pPr>
        <w:pStyle w:val="Nvel1-SemNum"/>
        <w:ind w:hanging="0" w:left="0"/>
        <w:rPr>
          <w:rFonts w:ascii="Arial" w:hAnsi="Arial"/>
        </w:rPr>
      </w:pPr>
      <w:r>
        <w:rPr>
          <w:color w:val="000000"/>
        </w:rPr>
        <w:t>Condições de Entrega</w:t>
      </w:r>
    </w:p>
    <w:p>
      <w:pPr>
        <w:pStyle w:val="Nvel2-Red"/>
        <w:numPr>
          <w:ilvl w:val="1"/>
          <w:numId w:val="134"/>
        </w:numPr>
        <w:ind w:hanging="0" w:left="0"/>
        <w:rPr>
          <w:rFonts w:ascii="Arial" w:hAnsi="Arial"/>
        </w:rPr>
      </w:pPr>
      <w:r>
        <w:rPr>
          <w:color w:val="000000"/>
        </w:rPr>
        <w:t xml:space="preserve">O prazo de entrega dos bens é de 30 dias, contados do recebimento do empenho </w:t>
      </w:r>
      <w:r>
        <w:rPr>
          <w:color w:val="000000"/>
          <w:sz w:val="20"/>
        </w:rPr>
        <w:t>por parte do contratado</w:t>
      </w:r>
      <w:r>
        <w:rPr>
          <w:color w:val="000000"/>
        </w:rPr>
        <w:t xml:space="preserve">, em remessa única. </w:t>
      </w:r>
    </w:p>
    <w:p>
      <w:pPr>
        <w:pStyle w:val="BodyText"/>
        <w:numPr>
          <w:ilvl w:val="1"/>
          <w:numId w:val="135"/>
        </w:numPr>
        <w:spacing w:before="280" w:after="280"/>
        <w:ind w:hanging="0" w:left="0"/>
        <w:rPr>
          <w:rFonts w:ascii="Arial" w:hAnsi="Arial"/>
        </w:rPr>
      </w:pPr>
      <w:r>
        <w:rPr>
          <w:rFonts w:ascii="Arial" w:hAnsi="Arial"/>
          <w:color w:val="000000"/>
          <w:sz w:val="20"/>
        </w:rPr>
        <w:t>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pPr>
        <w:pStyle w:val="Nivel2"/>
        <w:numPr>
          <w:ilvl w:val="1"/>
          <w:numId w:val="136"/>
        </w:numPr>
        <w:ind w:hanging="0" w:left="0"/>
        <w:rPr>
          <w:rFonts w:ascii="Arial" w:hAnsi="Arial"/>
        </w:rPr>
      </w:pPr>
      <w:r>
        <w:rPr>
          <w:sz w:val="20"/>
          <w:szCs w:val="20"/>
        </w:rPr>
        <w:t xml:space="preserve">Os bens deverão ser entregues no seguinte endereço, </w:t>
      </w:r>
      <w:r>
        <w:rPr>
          <w:rFonts w:cs="Arial"/>
          <w:color w:val="000000"/>
          <w:sz w:val="20"/>
          <w:szCs w:val="20"/>
          <w:lang w:eastAsia="en-US"/>
        </w:rPr>
        <w:t>Almoxarifado do Depósito Central de Munição: Rodovia RJ-127, km 06, s/n, Bairro Cabral, Paracambi - RJ, 26600-000, no horário das 09:40h às 11:30h e das 13:00h às 16:00h de segunda a quinta-feira, e às sextas-feiras das 08:00h</w:t>
      </w:r>
      <w:r>
        <w:rPr>
          <w:rFonts w:cs="Arial"/>
          <w:color w:val="000000"/>
          <w:spacing w:val="-5"/>
          <w:sz w:val="20"/>
          <w:szCs w:val="20"/>
          <w:lang w:eastAsia="en-US"/>
        </w:rPr>
        <w:t xml:space="preserve"> </w:t>
      </w:r>
      <w:r>
        <w:rPr>
          <w:rFonts w:cs="Arial"/>
          <w:color w:val="000000"/>
          <w:sz w:val="20"/>
          <w:szCs w:val="20"/>
          <w:lang w:eastAsia="en-US"/>
        </w:rPr>
        <w:t>às</w:t>
      </w:r>
      <w:r>
        <w:rPr>
          <w:rFonts w:cs="Arial"/>
          <w:color w:val="000000"/>
          <w:spacing w:val="-7"/>
          <w:sz w:val="20"/>
          <w:szCs w:val="20"/>
          <w:lang w:eastAsia="en-US"/>
        </w:rPr>
        <w:t xml:space="preserve"> </w:t>
      </w:r>
      <w:r>
        <w:rPr>
          <w:rFonts w:cs="Arial"/>
          <w:color w:val="000000"/>
          <w:sz w:val="20"/>
          <w:szCs w:val="20"/>
          <w:lang w:eastAsia="en-US"/>
        </w:rPr>
        <w:t>11:30h</w:t>
      </w:r>
      <w:r>
        <w:rPr>
          <w:rFonts w:cs="Arial"/>
          <w:color w:val="000000"/>
          <w:sz w:val="24"/>
          <w:szCs w:val="24"/>
          <w:lang w:eastAsia="en-US"/>
        </w:rPr>
        <w:t>.</w:t>
      </w:r>
    </w:p>
    <w:p>
      <w:pPr>
        <w:pStyle w:val="Nvel1-SemNumPreto"/>
        <w:ind w:hanging="0" w:left="0"/>
        <w:rPr>
          <w:rFonts w:ascii="Arial" w:hAnsi="Arial"/>
        </w:rPr>
      </w:pPr>
      <w:r>
        <w:rPr/>
        <w:t>Garantia, manutenção e assistência técnica</w:t>
      </w:r>
    </w:p>
    <w:p>
      <w:pPr>
        <w:pStyle w:val="Nvel2-Red"/>
        <w:numPr>
          <w:ilvl w:val="1"/>
          <w:numId w:val="137"/>
        </w:numPr>
        <w:ind w:hanging="0" w:left="0"/>
        <w:rPr>
          <w:rFonts w:ascii="Arial" w:hAnsi="Arial"/>
        </w:rPr>
      </w:pPr>
      <w:r>
        <w:rPr>
          <w:color w:val="000000"/>
        </w:rPr>
        <w:t>O prazo de garantia é aquele estabelecido na Lei nº 8.078, de 11 de setembro de 1990 (Código de Defesa do Consumidor)</w:t>
      </w:r>
    </w:p>
    <w:p>
      <w:pPr>
        <w:pStyle w:val="Nivel01"/>
        <w:numPr>
          <w:ilvl w:val="0"/>
          <w:numId w:val="4"/>
        </w:numPr>
        <w:ind w:hanging="0" w:left="0"/>
        <w:rPr>
          <w:rFonts w:ascii="Arial" w:hAnsi="Arial"/>
        </w:rPr>
      </w:pPr>
      <w:r>
        <w:rPr/>
        <w:t>MODELO DE GESTÃO DO CONTRATO</w:t>
      </w:r>
    </w:p>
    <w:p>
      <w:pPr>
        <w:pStyle w:val="Nivel2"/>
        <w:numPr>
          <w:ilvl w:val="1"/>
          <w:numId w:val="138"/>
        </w:numPr>
        <w:ind w:hanging="0" w:left="0"/>
        <w:rPr>
          <w:rFonts w:ascii="Arial" w:hAnsi="Arial"/>
        </w:rPr>
      </w:pPr>
      <w:r>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39"/>
        </w:numPr>
        <w:ind w:hanging="0" w:left="0"/>
        <w:rPr>
          <w:rFonts w:ascii="Arial" w:hAnsi="Arial"/>
        </w:rPr>
      </w:pPr>
      <w:r>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40"/>
        </w:numPr>
        <w:ind w:hanging="0" w:left="0"/>
        <w:rPr>
          <w:rFonts w:ascii="Arial" w:hAnsi="Arial"/>
        </w:rPr>
      </w:pPr>
      <w:r>
        <w:rPr/>
        <w:t>As comunicações entre o órgão ou entidade e a contratada devem ser realizadas por escrito sempre que o ato exigir tal formalidade, admitindo-se o uso de mensagem eletrônica para esse fim.</w:t>
      </w:r>
    </w:p>
    <w:p>
      <w:pPr>
        <w:pStyle w:val="Nivel2"/>
        <w:numPr>
          <w:ilvl w:val="1"/>
          <w:numId w:val="141"/>
        </w:numPr>
        <w:ind w:hanging="0" w:left="0"/>
        <w:rPr>
          <w:rFonts w:ascii="Arial" w:hAnsi="Arial"/>
        </w:rPr>
      </w:pPr>
      <w:r>
        <w:rPr/>
        <w:t>O órgão ou entidade poderá convocar representante da empresa para adoção de providências que devam ser cumpridas de imediato.</w:t>
      </w:r>
    </w:p>
    <w:p>
      <w:pPr>
        <w:pStyle w:val="Nivel2"/>
        <w:numPr>
          <w:ilvl w:val="1"/>
          <w:numId w:val="142"/>
        </w:numPr>
        <w:ind w:hanging="0" w:left="0"/>
        <w:rPr>
          <w:rFonts w:ascii="Arial" w:hAnsi="Arial"/>
        </w:rPr>
      </w:pPr>
      <w:r>
        <w:rPr/>
        <w:t xml:space="preserve"> </w:t>
      </w:r>
      <w:r>
        <w:rPr/>
        <w:t>Após a assinatura do contrato ou instrumento equivalente</w:t>
      </w:r>
      <w:r>
        <w:rPr>
          <w:strike/>
        </w:rPr>
        <w:t>,</w:t>
      </w:r>
      <w: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numPr>
          <w:ilvl w:val="0"/>
          <w:numId w:val="0"/>
        </w:numPr>
        <w:ind w:hanging="0" w:left="0"/>
        <w:rPr>
          <w:rFonts w:ascii="Arial" w:hAnsi="Arial"/>
        </w:rPr>
      </w:pPr>
      <w:r>
        <w:rPr/>
        <w:t>Fiscalização</w:t>
      </w:r>
    </w:p>
    <w:p>
      <w:pPr>
        <w:pStyle w:val="Nivel2"/>
        <w:numPr>
          <w:ilvl w:val="1"/>
          <w:numId w:val="143"/>
        </w:numPr>
        <w:ind w:hanging="0" w:left="0"/>
        <w:rPr/>
      </w:pPr>
      <w:r>
        <w:rPr/>
        <w:t>A execução do contrato deverá ser acompanhada e fiscalizada pelo(s) fiscal(is) do contrato, ou pelos respectivos substitutos (</w:t>
      </w:r>
      <w:r>
        <w:fldChar w:fldCharType="begin"/>
      </w:r>
      <w:r>
        <w:rPr>
          <w:rStyle w:val="Hyperlink"/>
        </w:rPr>
        <w:instrText xml:space="preserve"> HYPERLINK "http://www.planalto.gov.br/ccivil_03/_ato2019-2022/2021/lei/L14133.htm" \l "art117"</w:instrText>
      </w:r>
      <w:r>
        <w:rPr>
          <w:rStyle w:val="Hyperlink"/>
        </w:rPr>
        <w:fldChar w:fldCharType="separate"/>
      </w:r>
      <w:r>
        <w:rPr>
          <w:rStyle w:val="Hyperlink"/>
        </w:rPr>
        <w:t>Lei nº 14.133, de 2021, art. 117, caput</w:t>
      </w:r>
      <w:r>
        <w:rPr>
          <w:rStyle w:val="Hyperlink"/>
        </w:rPr>
        <w:fldChar w:fldCharType="end"/>
      </w:r>
      <w:r>
        <w:rPr/>
        <w:t>).</w:t>
      </w:r>
    </w:p>
    <w:p>
      <w:pPr>
        <w:pStyle w:val="Nvel1-SemNumPreto"/>
        <w:ind w:hanging="0" w:left="0"/>
        <w:rPr>
          <w:rFonts w:ascii="Arial" w:hAnsi="Arial"/>
        </w:rPr>
      </w:pPr>
      <w:r>
        <w:rPr/>
        <w:t>Fiscalização Técnica</w:t>
      </w:r>
    </w:p>
    <w:p>
      <w:pPr>
        <w:pStyle w:val="Nivel2"/>
        <w:numPr>
          <w:ilvl w:val="1"/>
          <w:numId w:val="144"/>
        </w:numPr>
        <w:ind w:hanging="0" w:left="0"/>
        <w:rPr>
          <w:rFonts w:ascii="Arial" w:hAnsi="Arial"/>
        </w:rPr>
      </w:pPr>
      <w:r>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3"/>
        <w:numPr>
          <w:ilvl w:val="2"/>
          <w:numId w:val="145"/>
        </w:numPr>
        <w:ind w:hanging="0" w:left="284"/>
        <w:rPr/>
      </w:pPr>
      <w:r>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rStyle w:val="Hyperlink"/>
        </w:rPr>
        <w:instrText xml:space="preserve"> HYPERLINK "http://www.planalto.gov.br/ccivil_03/_ato2019-2022/2021/lei/L14133.htm" \l "art117%C2%A71"</w:instrText>
      </w:r>
      <w:r>
        <w:rPr>
          <w:rStyle w:val="Hyperlink"/>
        </w:rPr>
        <w:fldChar w:fldCharType="separate"/>
      </w:r>
      <w:r>
        <w:rPr>
          <w:rStyle w:val="Hyperlink"/>
        </w:rPr>
        <w:t>Lei nº 14.133, de 2021, art. 117, §1º</w:t>
      </w:r>
      <w:r>
        <w:rPr>
          <w:rStyle w:val="Hyperlink"/>
        </w:rPr>
        <w:fldChar w:fldCharType="end"/>
      </w:r>
      <w:r>
        <w:rPr/>
        <w:t xml:space="preserve">, e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II);</w:t>
      </w:r>
      <w:r>
        <w:rPr>
          <w:rStyle w:val="Hyperlink"/>
        </w:rPr>
        <w:fldChar w:fldCharType="end"/>
      </w:r>
    </w:p>
    <w:p>
      <w:pPr>
        <w:pStyle w:val="Nivel3"/>
        <w:numPr>
          <w:ilvl w:val="2"/>
          <w:numId w:val="146"/>
        </w:numPr>
        <w:ind w:hanging="0" w:left="284"/>
        <w:rPr/>
      </w:pPr>
      <w:r>
        <w:rPr/>
        <w:t>Identificada qualquer inexatidão ou irregularidade, o fiscal técnico do contrato emitirá notificações para a correção da execução do contrato, determinando prazo para a correção.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III</w:t>
      </w:r>
      <w:r>
        <w:rPr>
          <w:rStyle w:val="Hyperlink"/>
        </w:rPr>
        <w:fldChar w:fldCharType="end"/>
      </w:r>
      <w:r>
        <w:rPr/>
        <w:t xml:space="preserve">); </w:t>
      </w:r>
    </w:p>
    <w:p>
      <w:pPr>
        <w:pStyle w:val="Nivel3"/>
        <w:numPr>
          <w:ilvl w:val="2"/>
          <w:numId w:val="147"/>
        </w:numPr>
        <w:ind w:hanging="0" w:left="284"/>
        <w:rPr/>
      </w:pPr>
      <w:r>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IV</w:t>
      </w:r>
      <w:r>
        <w:rPr>
          <w:rStyle w:val="Hyperlink"/>
        </w:rPr>
        <w:fldChar w:fldCharType="end"/>
      </w:r>
      <w:r>
        <w:rPr/>
        <w:t>).</w:t>
      </w:r>
    </w:p>
    <w:p>
      <w:pPr>
        <w:pStyle w:val="Nivel3"/>
        <w:numPr>
          <w:ilvl w:val="2"/>
          <w:numId w:val="148"/>
        </w:numPr>
        <w:ind w:hanging="0" w:left="284"/>
        <w:rPr/>
      </w:pPr>
      <w:r>
        <w:rPr/>
        <w:t>No caso de ocorrências que possam inviabilizar a execução do contrato nas datas aprazadas, o fiscal técnico do contrato comunicará o fato imediatamente ao gestor do contrato.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V</w:t>
      </w:r>
      <w:r>
        <w:rPr>
          <w:rStyle w:val="Hyperlink"/>
        </w:rPr>
        <w:fldChar w:fldCharType="end"/>
      </w:r>
      <w:r>
        <w:rPr/>
        <w:t>).</w:t>
      </w:r>
    </w:p>
    <w:p>
      <w:pPr>
        <w:pStyle w:val="Nivel3"/>
        <w:numPr>
          <w:ilvl w:val="2"/>
          <w:numId w:val="149"/>
        </w:numPr>
        <w:ind w:hanging="0" w:left="284"/>
        <w:rPr/>
      </w:pPr>
      <w:r>
        <w:rPr/>
        <w:t xml:space="preserve">O fiscal técnico do contrato comunicará ao gestor do contrato, em tempo hábil, o término do contrato sob sua responsabilidade, com vistas à renovação tempestiva ou à prorrogação contratual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VII</w:t>
      </w:r>
      <w:r>
        <w:rPr>
          <w:rStyle w:val="Hyperlink"/>
        </w:rPr>
        <w:fldChar w:fldCharType="end"/>
      </w:r>
      <w:r>
        <w:rPr/>
        <w:t>).</w:t>
      </w:r>
    </w:p>
    <w:p>
      <w:pPr>
        <w:pStyle w:val="Nivel3"/>
        <w:numPr>
          <w:ilvl w:val="0"/>
          <w:numId w:val="0"/>
        </w:numPr>
        <w:ind w:hanging="0" w:left="0"/>
        <w:rPr>
          <w:rFonts w:ascii="Arial" w:hAnsi="Arial"/>
        </w:rPr>
      </w:pPr>
      <w:r>
        <w:rPr/>
        <w:t>Fiscalização Administrativa</w:t>
      </w:r>
    </w:p>
    <w:p>
      <w:pPr>
        <w:pStyle w:val="Nivel2"/>
        <w:numPr>
          <w:ilvl w:val="1"/>
          <w:numId w:val="150"/>
        </w:numPr>
        <w:ind w:hanging="0" w:left="0"/>
        <w:rPr/>
      </w:pPr>
      <w: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Hyperlink"/>
        </w:rPr>
        <w:instrText xml:space="preserve"> HYPERLINK "https://www.planalto.gov.br/ccivil_03/_ato2019-2022/2022/Decreto/D11246.htm" \l "art23"</w:instrText>
      </w:r>
      <w:r>
        <w:rPr>
          <w:rStyle w:val="Hyperlink"/>
        </w:rPr>
        <w:fldChar w:fldCharType="separate"/>
      </w:r>
      <w:r>
        <w:rPr>
          <w:rStyle w:val="Hyperlink"/>
        </w:rPr>
        <w:t>Art. 23, I e II, do Decreto nº 11.246, de 2022</w:t>
      </w:r>
      <w:r>
        <w:rPr>
          <w:rStyle w:val="Hyperlink"/>
        </w:rPr>
        <w:fldChar w:fldCharType="end"/>
      </w:r>
      <w:r>
        <w:rPr/>
        <w:t>).</w:t>
      </w:r>
    </w:p>
    <w:p>
      <w:pPr>
        <w:pStyle w:val="Nivel3"/>
        <w:numPr>
          <w:ilvl w:val="2"/>
          <w:numId w:val="151"/>
        </w:numPr>
        <w:ind w:hanging="0" w:left="284"/>
        <w:rPr/>
      </w:pPr>
      <w:r>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rPr>
          <w:rStyle w:val="Hyperlink"/>
        </w:rPr>
        <w:instrText xml:space="preserve"> HYPERLINK "https://www.planalto.gov.br/ccivil_03/_ato2019-2022/2022/Decreto/D11246.htm" \l "art23"</w:instrText>
      </w:r>
      <w:r>
        <w:rPr>
          <w:rStyle w:val="Hyperlink"/>
        </w:rPr>
        <w:fldChar w:fldCharType="separate"/>
      </w:r>
      <w:r>
        <w:rPr>
          <w:rStyle w:val="Hyperlink"/>
        </w:rPr>
        <w:t>Decreto nº 11.246, de 2022, art. 23, IV</w:t>
      </w:r>
      <w:r>
        <w:rPr>
          <w:rStyle w:val="Hyperlink"/>
        </w:rPr>
        <w:fldChar w:fldCharType="end"/>
      </w:r>
      <w:r>
        <w:rPr/>
        <w:t>).</w:t>
      </w:r>
    </w:p>
    <w:p>
      <w:pPr>
        <w:pStyle w:val="Nvel1-SemNumPreto"/>
        <w:ind w:hanging="0" w:left="0"/>
        <w:rPr>
          <w:rFonts w:ascii="Arial" w:hAnsi="Arial"/>
        </w:rPr>
      </w:pPr>
      <w:r>
        <w:rPr/>
        <w:t>Gestor do Contrato</w:t>
      </w:r>
    </w:p>
    <w:p>
      <w:pPr>
        <w:pStyle w:val="Nivel2"/>
        <w:numPr>
          <w:ilvl w:val="1"/>
          <w:numId w:val="152"/>
        </w:numPr>
        <w:ind w:hanging="0" w:left="0"/>
        <w:rPr>
          <w:rFonts w:ascii="Arial" w:hAnsi="Arial"/>
        </w:rPr>
      </w:pPr>
      <w: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153"/>
        </w:numPr>
        <w:ind w:hanging="0" w:left="0"/>
        <w:rPr>
          <w:rFonts w:ascii="Arial" w:hAnsi="Arial"/>
        </w:rPr>
      </w:pPr>
      <w:r>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154"/>
        </w:numPr>
        <w:ind w:hanging="0" w:left="0"/>
        <w:rPr>
          <w:rFonts w:ascii="Arial" w:hAnsi="Arial"/>
        </w:rPr>
      </w:pPr>
      <w:r>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155"/>
        </w:numPr>
        <w:ind w:hanging="0" w:left="0"/>
        <w:rPr>
          <w:rFonts w:ascii="Arial" w:hAnsi="Arial"/>
        </w:rPr>
      </w:pPr>
      <w:r>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156"/>
        </w:numPr>
        <w:ind w:hanging="0" w:left="0"/>
        <w:rPr>
          <w:rFonts w:ascii="Arial" w:hAnsi="Arial"/>
        </w:rPr>
      </w:pPr>
      <w:r>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157"/>
        </w:numPr>
        <w:ind w:hanging="0" w:left="0"/>
        <w:rPr>
          <w:rFonts w:ascii="Arial" w:hAnsi="Arial"/>
        </w:rPr>
      </w:pPr>
      <w:r>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158"/>
        </w:numPr>
        <w:ind w:hanging="0" w:left="0"/>
        <w:rPr>
          <w:rFonts w:ascii="Arial" w:hAnsi="Arial"/>
        </w:rPr>
      </w:pPr>
      <w:r>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4"/>
        </w:numPr>
        <w:ind w:hanging="0" w:left="0"/>
        <w:rPr>
          <w:rFonts w:ascii="Arial" w:hAnsi="Arial"/>
        </w:rPr>
      </w:pPr>
      <w:r>
        <w:rPr/>
        <w:t>CRITÉRIOS DE MEDIÇÃO E DE PAGAMENTO</w:t>
      </w:r>
    </w:p>
    <w:p>
      <w:pPr>
        <w:pStyle w:val="Nvel1-SemNumPreto"/>
        <w:ind w:hanging="0" w:left="0"/>
        <w:rPr>
          <w:rFonts w:ascii="Arial" w:hAnsi="Arial"/>
        </w:rPr>
      </w:pPr>
      <w:r>
        <w:rPr/>
        <w:t>Recebimento</w:t>
      </w:r>
    </w:p>
    <w:p>
      <w:pPr>
        <w:pStyle w:val="Nivel2"/>
        <w:numPr>
          <w:ilvl w:val="1"/>
          <w:numId w:val="159"/>
        </w:numPr>
        <w:ind w:hanging="0" w:left="0"/>
        <w:rPr>
          <w:rFonts w:ascii="Arial" w:hAnsi="Arial"/>
        </w:rPr>
      </w:pPr>
      <w:r>
        <w:rPr>
          <w:lang w:eastAsia="en-US"/>
        </w:rPr>
        <w:t xml:space="preserve">Os bens serão recebidos provisoriamente, de forma sumária, no ato da entrega, juntamente com a </w:t>
      </w:r>
      <w:r>
        <w:rPr>
          <w:rFonts w:eastAsia="Calibri"/>
          <w:lang w:eastAsia="en-US"/>
        </w:rPr>
        <w:t>nota</w:t>
      </w:r>
      <w:r>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color w:val="FF0000"/>
          <w:lang w:eastAsia="en-US"/>
        </w:rPr>
        <w:t xml:space="preserve"> </w:t>
      </w:r>
      <w:r>
        <w:rPr>
          <w:lang w:eastAsia="en-US"/>
        </w:rPr>
        <w:t>e na proposta.</w:t>
      </w:r>
    </w:p>
    <w:p>
      <w:pPr>
        <w:pStyle w:val="Nivel2"/>
        <w:widowControl/>
        <w:numPr>
          <w:ilvl w:val="1"/>
          <w:numId w:val="160"/>
        </w:numPr>
        <w:bidi w:val="0"/>
        <w:spacing w:lineRule="auto" w:line="276" w:before="120" w:after="120"/>
        <w:ind w:hanging="0" w:left="0"/>
        <w:jc w:val="both"/>
        <w:rPr>
          <w:rFonts w:ascii="Arial" w:hAnsi="Arial"/>
        </w:rPr>
      </w:pPr>
      <w:r>
        <w:rPr>
          <w:rFonts w:eastAsia="Arial" w:cs="Arial"/>
          <w:sz w:val="20"/>
          <w:szCs w:val="20"/>
          <w:lang w:eastAsia="en-US"/>
        </w:rPr>
        <w:t>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pPr>
        <w:pStyle w:val="Nivel2"/>
        <w:widowControl/>
        <w:numPr>
          <w:ilvl w:val="1"/>
          <w:numId w:val="161"/>
        </w:numPr>
        <w:bidi w:val="0"/>
        <w:spacing w:lineRule="auto" w:line="276" w:before="120" w:after="120"/>
        <w:ind w:hanging="0" w:left="0"/>
        <w:jc w:val="both"/>
        <w:rPr>
          <w:rFonts w:ascii="Arial" w:hAnsi="Arial"/>
        </w:rPr>
      </w:pPr>
      <w:r>
        <w:rPr>
          <w:rFonts w:eastAsia="Arial" w:cs="Arial"/>
          <w:sz w:val="20"/>
          <w:szCs w:val="20"/>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pPr>
        <w:pStyle w:val="Nivel2"/>
        <w:widowControl/>
        <w:numPr>
          <w:ilvl w:val="1"/>
          <w:numId w:val="162"/>
        </w:numPr>
        <w:bidi w:val="0"/>
        <w:spacing w:lineRule="auto" w:line="276" w:before="120" w:after="120"/>
        <w:ind w:hanging="0" w:left="0"/>
        <w:jc w:val="both"/>
        <w:rPr>
          <w:rFonts w:ascii="Arial" w:hAnsi="Arial"/>
        </w:rPr>
      </w:pPr>
      <w:r>
        <w:rPr>
          <w:rFonts w:eastAsia="Arial" w:cs="Arial"/>
          <w:sz w:val="20"/>
          <w:szCs w:val="20"/>
          <w:lang w:eastAsia="en-US"/>
        </w:rPr>
        <w:t>Para as contratações decorrentes de despesas cujos valores não ultrapassem o limite de que trata o inciso II do art. 75 da Lei nº 14.133, de 2021, o prazo máximo para o recebimento definitivo será de até 05 (cinco) dias úteis.</w:t>
      </w:r>
    </w:p>
    <w:p>
      <w:pPr>
        <w:pStyle w:val="Nivel2"/>
        <w:numPr>
          <w:ilvl w:val="1"/>
          <w:numId w:val="163"/>
        </w:numPr>
        <w:ind w:hanging="0" w:left="0"/>
        <w:rPr>
          <w:rFonts w:ascii="Arial" w:hAnsi="Arial"/>
        </w:rPr>
      </w:pPr>
      <w:r>
        <w:rPr>
          <w:lang w:eastAsia="en-US"/>
        </w:rPr>
        <w:t xml:space="preserve">O prazo para recebimento definitivo poderá ser excepcionalmente prorrogado, </w:t>
      </w:r>
      <w:r>
        <w:rPr>
          <w:color w:val="auto"/>
          <w:lang w:eastAsia="en-US"/>
        </w:rPr>
        <w:t>de forma justificada, por igual período, quando houver necessidade de diligências para a aferição do ate</w:t>
      </w:r>
      <w:r>
        <w:rPr>
          <w:lang w:eastAsia="en-US"/>
        </w:rPr>
        <w:t>ndimento das exigências contratuais.</w:t>
      </w:r>
    </w:p>
    <w:p>
      <w:pPr>
        <w:pStyle w:val="Nivel2"/>
        <w:numPr>
          <w:ilvl w:val="1"/>
          <w:numId w:val="164"/>
        </w:numPr>
        <w:ind w:hanging="0" w:left="0"/>
        <w:rPr/>
      </w:pPr>
      <w:r>
        <w:rPr>
          <w:lang w:eastAsia="en-US"/>
        </w:rPr>
        <w:t xml:space="preserve">No caso de controvérsia sobre a execução do objeto, quanto à dimensão, qualidade e quantidade, deverá ser observado o teor do </w:t>
      </w:r>
      <w:r>
        <w:fldChar w:fldCharType="begin"/>
      </w:r>
      <w:r>
        <w:rPr>
          <w:rStyle w:val="Hyperlink"/>
          <w:lang w:eastAsia="en-US"/>
        </w:rPr>
        <w:instrText xml:space="preserve"> HYPERLINK "http://www.planalto.gov.br/ccivil_03/_ato2019-2022/2021/lei/L14133.htm" \l "art143"</w:instrText>
      </w:r>
      <w:r>
        <w:rPr>
          <w:rStyle w:val="Hyperlink"/>
          <w:lang w:eastAsia="en-US"/>
        </w:rPr>
        <w:fldChar w:fldCharType="separate"/>
      </w:r>
      <w:r>
        <w:rPr>
          <w:rStyle w:val="Hyperlink"/>
          <w:lang w:eastAsia="en-US"/>
        </w:rPr>
        <w:t>art. 143 da Lei nº 14.133, de 2021</w:t>
      </w:r>
      <w:r>
        <w:rPr>
          <w:rStyle w:val="Hyperlink"/>
          <w:lang w:eastAsia="en-US"/>
        </w:rPr>
        <w:fldChar w:fldCharType="end"/>
      </w:r>
      <w:r>
        <w:rPr>
          <w:lang w:eastAsia="en-US"/>
        </w:rPr>
        <w:t>, comunicando-se à empresa para emissão de Nota Fiscal no que pertine à parcela incontroversa da execução do objeto, para efeito de liquidação e pagamento.</w:t>
      </w:r>
    </w:p>
    <w:p>
      <w:pPr>
        <w:pStyle w:val="Nivel2"/>
        <w:numPr>
          <w:ilvl w:val="1"/>
          <w:numId w:val="165"/>
        </w:numPr>
        <w:ind w:hanging="0" w:left="0"/>
        <w:rPr>
          <w:rFonts w:ascii="Arial" w:hAnsi="Arial"/>
        </w:rPr>
      </w:pPr>
      <w:r>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166"/>
        </w:numPr>
        <w:ind w:hanging="0" w:left="0"/>
        <w:rPr>
          <w:rFonts w:ascii="Arial" w:hAnsi="Arial"/>
        </w:rPr>
      </w:pPr>
      <w:r>
        <w:rPr>
          <w:lang w:eastAsia="en-US"/>
        </w:rPr>
        <w:t>O recebimento provisório ou definitivo não excluirá a responsabilidade civil pela solidez e pela segurança dos bens nem a responsabilidade ético-profissional pela perfeita execução do contrato.</w:t>
      </w:r>
    </w:p>
    <w:p>
      <w:pPr>
        <w:pStyle w:val="Nvel1-SemNumPreto"/>
        <w:ind w:hanging="0" w:left="0"/>
        <w:rPr>
          <w:rFonts w:ascii="Arial" w:hAnsi="Arial"/>
        </w:rPr>
      </w:pPr>
      <w:r>
        <w:rPr/>
        <w:t>Liquidação</w:t>
      </w:r>
    </w:p>
    <w:p>
      <w:pPr>
        <w:pStyle w:val="Nivel2"/>
        <w:numPr>
          <w:ilvl w:val="1"/>
          <w:numId w:val="167"/>
        </w:numPr>
        <w:ind w:hanging="0" w:left="0"/>
        <w:rPr/>
      </w:pPr>
      <w:r>
        <w:rPr>
          <w:lang w:eastAsia="en-US"/>
        </w:rPr>
        <w:t>Recebida a Nota Fiscal ou documento de cobrança equivalente, correrá o prazo de dez dias úteis para fins de liquidação, na forma desta seção, prorrogáveis por igual período, nos termos do art. 7º, §3</w:t>
      </w:r>
      <w:r>
        <w:rPr>
          <w:rStyle w:val="InternetLink"/>
          <w:lang w:eastAsia="en-US"/>
        </w:rPr>
        <w:t>º da Instrução Normativa SEGES/ME nº 77/2022</w:t>
      </w:r>
      <w:r>
        <w:rPr>
          <w:lang w:eastAsia="en-US"/>
        </w:rPr>
        <w:t>.</w:t>
      </w:r>
    </w:p>
    <w:p>
      <w:pPr>
        <w:pStyle w:val="Nivel3"/>
        <w:numPr>
          <w:ilvl w:val="2"/>
          <w:numId w:val="168"/>
        </w:numPr>
        <w:ind w:hanging="0" w:left="284"/>
        <w:rPr/>
      </w:pPr>
      <w:r>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rStyle w:val="Hyperlink"/>
        </w:rPr>
        <w:instrText xml:space="preserve"> HYPERLINK "http://www.planalto.gov.br/ccivil_03/_ato2019-2022/2021/lei/L14133.htm" \l "art75"</w:instrText>
      </w:r>
      <w:r>
        <w:rPr>
          <w:rStyle w:val="Hyperlink"/>
        </w:rPr>
        <w:fldChar w:fldCharType="separate"/>
      </w:r>
      <w:r>
        <w:rPr>
          <w:rStyle w:val="Hyperlink"/>
        </w:rPr>
        <w:t>inciso II do art. 75 da Lei nº 14.133, de 2021</w:t>
      </w:r>
      <w:r>
        <w:rPr>
          <w:rStyle w:val="Hyperlink"/>
        </w:rPr>
        <w:fldChar w:fldCharType="end"/>
      </w:r>
      <w:r>
        <w:rPr/>
        <w:t>.</w:t>
      </w:r>
    </w:p>
    <w:p>
      <w:pPr>
        <w:pStyle w:val="Nivel2"/>
        <w:numPr>
          <w:ilvl w:val="1"/>
          <w:numId w:val="169"/>
        </w:numPr>
        <w:ind w:hanging="0" w:left="0"/>
        <w:rPr>
          <w:rFonts w:ascii="Arial" w:hAnsi="Arial"/>
        </w:rPr>
      </w:pPr>
      <w:r>
        <w:rPr>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170"/>
        </w:numPr>
        <w:ind w:hanging="0" w:left="284"/>
        <w:rPr>
          <w:rFonts w:ascii="Arial" w:hAnsi="Arial"/>
        </w:rPr>
      </w:pPr>
      <w:r>
        <w:rPr>
          <w:lang w:eastAsia="en-US"/>
        </w:rPr>
        <w:t>o prazo de validade;</w:t>
      </w:r>
    </w:p>
    <w:p>
      <w:pPr>
        <w:pStyle w:val="Nivel3"/>
        <w:numPr>
          <w:ilvl w:val="2"/>
          <w:numId w:val="171"/>
        </w:numPr>
        <w:ind w:hanging="0" w:left="284"/>
        <w:rPr>
          <w:rFonts w:ascii="Arial" w:hAnsi="Arial"/>
        </w:rPr>
      </w:pPr>
      <w:r>
        <w:rPr>
          <w:lang w:eastAsia="en-US"/>
        </w:rPr>
        <w:t xml:space="preserve">a data da emissão; </w:t>
      </w:r>
    </w:p>
    <w:p>
      <w:pPr>
        <w:pStyle w:val="Nivel3"/>
        <w:numPr>
          <w:ilvl w:val="2"/>
          <w:numId w:val="172"/>
        </w:numPr>
        <w:ind w:hanging="0" w:left="284"/>
        <w:rPr>
          <w:rFonts w:ascii="Arial" w:hAnsi="Arial"/>
        </w:rPr>
      </w:pPr>
      <w:r>
        <w:rPr>
          <w:lang w:eastAsia="en-US"/>
        </w:rPr>
        <w:t xml:space="preserve">os dados do contrato e do órgão contratante; </w:t>
      </w:r>
    </w:p>
    <w:p>
      <w:pPr>
        <w:pStyle w:val="Nivel3"/>
        <w:numPr>
          <w:ilvl w:val="2"/>
          <w:numId w:val="173"/>
        </w:numPr>
        <w:ind w:hanging="0" w:left="284"/>
        <w:rPr>
          <w:rFonts w:ascii="Arial" w:hAnsi="Arial"/>
        </w:rPr>
      </w:pPr>
      <w:r>
        <w:rPr>
          <w:lang w:eastAsia="en-US"/>
        </w:rPr>
        <w:t xml:space="preserve">o período respectivo de execução do contrato; </w:t>
      </w:r>
    </w:p>
    <w:p>
      <w:pPr>
        <w:pStyle w:val="Nivel3"/>
        <w:numPr>
          <w:ilvl w:val="2"/>
          <w:numId w:val="174"/>
        </w:numPr>
        <w:ind w:hanging="0" w:left="284"/>
        <w:rPr>
          <w:rFonts w:ascii="Arial" w:hAnsi="Arial"/>
        </w:rPr>
      </w:pPr>
      <w:r>
        <w:rPr>
          <w:lang w:eastAsia="en-US"/>
        </w:rPr>
        <w:t xml:space="preserve">o valor a pagar; e </w:t>
      </w:r>
    </w:p>
    <w:p>
      <w:pPr>
        <w:pStyle w:val="Nivel3"/>
        <w:numPr>
          <w:ilvl w:val="2"/>
          <w:numId w:val="175"/>
        </w:numPr>
        <w:ind w:hanging="0" w:left="284"/>
        <w:rPr>
          <w:rFonts w:ascii="Arial" w:hAnsi="Arial"/>
        </w:rPr>
      </w:pPr>
      <w:r>
        <w:rPr>
          <w:lang w:eastAsia="en-US"/>
        </w:rPr>
        <w:t>eventual destaque do valor de retenções tributárias cabíveis.</w:t>
      </w:r>
    </w:p>
    <w:p>
      <w:pPr>
        <w:pStyle w:val="Nivel2"/>
        <w:numPr>
          <w:ilvl w:val="1"/>
          <w:numId w:val="176"/>
        </w:numPr>
        <w:ind w:hanging="0" w:left="0"/>
        <w:rPr>
          <w:rFonts w:ascii="Arial" w:hAnsi="Arial"/>
        </w:rPr>
      </w:pPr>
      <w:r>
        <w:rPr>
          <w:rFonts w:eastAsia="Calibri"/>
          <w:lang w:eastAsia="en-US"/>
        </w:rPr>
        <w:t xml:space="preserve"> </w:t>
      </w:r>
      <w:r>
        <w:rPr>
          <w:rFonts w:eastAsia="Calibri"/>
          <w:lang w:eastAsia="en-US"/>
        </w:rPr>
        <w:t xml:space="preserve">Havendo erro na apresentação da nota fiscal ou instrumento de cobrança equivalente, ou circunstância que impeça a </w:t>
      </w:r>
      <w:r>
        <w:rPr>
          <w:lang w:eastAsia="en-US"/>
        </w:rPr>
        <w:t>liquidação da despesa, esta ficará sobrestada até que o contratado providencie as medidas saneadoras, reiniciando-se o prazo após a comprovação da regularização da situação, sem ônus ao contratante;</w:t>
      </w:r>
    </w:p>
    <w:p>
      <w:pPr>
        <w:pStyle w:val="Nivel2"/>
        <w:numPr>
          <w:ilvl w:val="1"/>
          <w:numId w:val="177"/>
        </w:numPr>
        <w:ind w:hanging="0" w:left="0"/>
        <w:rPr/>
      </w:pPr>
      <w:r>
        <w:rPr>
          <w:lang w:eastAsia="en-US"/>
        </w:rPr>
        <w:t xml:space="preserve"> </w:t>
      </w:r>
      <w:r>
        <w:rPr>
          <w:lang w:eastAsia="en-US"/>
        </w:rPr>
        <w:t xml:space="preserve">A nota fiscal ou instrumento de cobrança equivalente deverá ser obrigatoriamente acompanhado da comprovação da regularidade fiscal, constatada por meio de consulta </w:t>
      </w:r>
      <w:r>
        <w:rPr>
          <w:i/>
          <w:iCs/>
          <w:lang w:eastAsia="en-US"/>
        </w:rPr>
        <w:t>on-line</w:t>
      </w:r>
      <w:r>
        <w:rPr>
          <w:lang w:eastAsia="en-US"/>
        </w:rPr>
        <w:t xml:space="preserve"> ao SICAF ou, na impossibilidade de acesso ao referido Sistema, mediante consulta aos sítios eletrônicos oficiais ou à documentação mencionada no </w:t>
      </w:r>
      <w:r>
        <w:fldChar w:fldCharType="begin"/>
      </w:r>
      <w:r>
        <w:rPr>
          <w:rStyle w:val="Hyperlink"/>
          <w:lang w:eastAsia="en-US"/>
        </w:rPr>
        <w:instrText xml:space="preserve"> HYPERLINK "http://www.planalto.gov.br/ccivil_03/_ato2019-2022/2021/lei/L14133.htm" \l "art68"</w:instrText>
      </w:r>
      <w:r>
        <w:rPr>
          <w:rStyle w:val="Hyperlink"/>
          <w:lang w:eastAsia="en-US"/>
        </w:rPr>
        <w:fldChar w:fldCharType="separate"/>
      </w:r>
      <w:r>
        <w:rPr>
          <w:rStyle w:val="Hyperlink"/>
          <w:lang w:eastAsia="en-US"/>
        </w:rPr>
        <w:t xml:space="preserve">art. 68 da Lei nº 14.133, de 2021.  </w:t>
      </w:r>
      <w:r>
        <w:rPr>
          <w:rStyle w:val="Hyperlink"/>
          <w:lang w:eastAsia="en-US"/>
        </w:rPr>
        <w:fldChar w:fldCharType="end"/>
      </w:r>
      <w:r>
        <w:rPr>
          <w:lang w:eastAsia="en-US"/>
        </w:rPr>
        <w:t xml:space="preserve"> </w:t>
      </w:r>
    </w:p>
    <w:p>
      <w:pPr>
        <w:pStyle w:val="Nivel2"/>
        <w:numPr>
          <w:ilvl w:val="1"/>
          <w:numId w:val="178"/>
        </w:numPr>
        <w:ind w:hanging="0" w:left="0"/>
        <w:rPr>
          <w:rFonts w:ascii="Arial" w:hAnsi="Arial"/>
        </w:rPr>
      </w:pPr>
      <w:r>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pPr>
        <w:pStyle w:val="Nivel2"/>
        <w:numPr>
          <w:ilvl w:val="1"/>
          <w:numId w:val="179"/>
        </w:numPr>
        <w:ind w:hanging="0" w:left="0"/>
        <w:rPr>
          <w:rFonts w:ascii="Arial" w:hAnsi="Arial"/>
        </w:rPr>
      </w:pPr>
      <w:r>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80"/>
        </w:numPr>
        <w:ind w:hanging="0" w:left="0"/>
        <w:rPr>
          <w:rFonts w:ascii="Arial" w:hAnsi="Arial"/>
        </w:rPr>
      </w:pPr>
      <w:r>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181"/>
        </w:numPr>
        <w:ind w:hanging="0" w:left="0"/>
        <w:rPr>
          <w:rFonts w:ascii="Arial" w:hAnsi="Arial"/>
        </w:rPr>
      </w:pPr>
      <w:r>
        <w:rPr>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182"/>
        </w:numPr>
        <w:ind w:hanging="0" w:left="0"/>
        <w:rPr>
          <w:rFonts w:ascii="Arial" w:hAnsi="Arial"/>
        </w:rPr>
      </w:pPr>
      <w:r>
        <w:rPr>
          <w:lang w:eastAsia="en-US"/>
        </w:rPr>
        <w:t xml:space="preserve">Havendo a efetiva execução do objeto, os pagamentos serão realizados normalmente, até que se decida pela rescisão do contrato, caso o contratado não regularize sua situação junto ao SICAF.  </w:t>
      </w:r>
    </w:p>
    <w:p>
      <w:pPr>
        <w:pStyle w:val="Nvel1-SemNumPreto"/>
        <w:ind w:hanging="0" w:left="0"/>
        <w:rPr>
          <w:rFonts w:ascii="Arial" w:hAnsi="Arial"/>
        </w:rPr>
      </w:pPr>
      <w:r>
        <w:rPr/>
        <w:t>Prazo de pagamento</w:t>
      </w:r>
    </w:p>
    <w:p>
      <w:pPr>
        <w:pStyle w:val="Nivel2"/>
        <w:numPr>
          <w:ilvl w:val="1"/>
          <w:numId w:val="183"/>
        </w:numPr>
        <w:ind w:hanging="0" w:left="0"/>
        <w:rPr/>
      </w:pPr>
      <w:r>
        <w:rPr/>
        <w:t xml:space="preserve">O pagamento será efetuado no prazo de até 10 (dez) dias úteis contados da finalização da liquidação da despesa, conforme seção anterior, nos termos da </w:t>
      </w:r>
      <w:hyperlink r:id="rId3">
        <w:r>
          <w:rPr>
            <w:rStyle w:val="Hyperlink"/>
          </w:rPr>
          <w:t>Instrução Normativa SEGES/ME nº 77, de 2022</w:t>
        </w:r>
      </w:hyperlink>
      <w:r>
        <w:rPr/>
        <w:t>.</w:t>
      </w:r>
    </w:p>
    <w:p>
      <w:pPr>
        <w:pStyle w:val="Nivel2"/>
        <w:numPr>
          <w:ilvl w:val="1"/>
          <w:numId w:val="184"/>
        </w:numPr>
        <w:ind w:hanging="0" w:left="0"/>
        <w:rPr>
          <w:rFonts w:ascii="Arial" w:hAnsi="Arial"/>
        </w:rPr>
      </w:pPr>
      <w:r>
        <w:rPr>
          <w:lang w:eastAsia="en-US"/>
        </w:rPr>
        <w:t xml:space="preserve">No caso de atraso pelo Contratante, os valores devidos ao contratado serão atualizados monetariamente entre o termo final do prazo de pagamento até a data de sua efetiva realização, mediante aplicação do índice </w:t>
      </w:r>
      <w:r>
        <w:rPr>
          <w:i w:val="false"/>
          <w:iCs w:val="false"/>
          <w:color w:val="000000"/>
          <w:lang w:eastAsia="en-US"/>
        </w:rPr>
        <w:t>IPCA</w:t>
      </w:r>
      <w:r>
        <w:rPr>
          <w:lang w:eastAsia="en-US"/>
        </w:rPr>
        <w:t xml:space="preserve"> de correção monetária.</w:t>
      </w:r>
    </w:p>
    <w:p>
      <w:pPr>
        <w:pStyle w:val="Nvel1-SemNumPreto"/>
        <w:ind w:hanging="0" w:left="0"/>
        <w:rPr>
          <w:rFonts w:ascii="Arial" w:hAnsi="Arial"/>
        </w:rPr>
      </w:pPr>
      <w:r>
        <w:rPr/>
        <w:t>Forma de pagamento</w:t>
      </w:r>
    </w:p>
    <w:p>
      <w:pPr>
        <w:pStyle w:val="Nivel2"/>
        <w:numPr>
          <w:ilvl w:val="1"/>
          <w:numId w:val="185"/>
        </w:numPr>
        <w:ind w:hanging="0" w:left="0"/>
        <w:rPr>
          <w:rFonts w:ascii="Arial" w:hAnsi="Arial"/>
        </w:rPr>
      </w:pPr>
      <w:r>
        <w:rPr>
          <w:lang w:eastAsia="en-US"/>
        </w:rPr>
        <w:t>O pagamento será realizado por meio de ordem bancária, para crédito em banco, agência e conta corrente indicados pelo contratado.</w:t>
      </w:r>
    </w:p>
    <w:p>
      <w:pPr>
        <w:pStyle w:val="Nivel2"/>
        <w:numPr>
          <w:ilvl w:val="1"/>
          <w:numId w:val="186"/>
        </w:numPr>
        <w:ind w:hanging="0" w:left="0"/>
        <w:rPr>
          <w:rFonts w:ascii="Arial" w:hAnsi="Arial"/>
        </w:rPr>
      </w:pPr>
      <w:r>
        <w:rPr>
          <w:lang w:eastAsia="en-US"/>
        </w:rPr>
        <w:t>Será considerada data do pagamento o dia em que constar como emitida a ordem bancária para pagamento.</w:t>
      </w:r>
    </w:p>
    <w:p>
      <w:pPr>
        <w:pStyle w:val="Nivel2"/>
        <w:numPr>
          <w:ilvl w:val="1"/>
          <w:numId w:val="187"/>
        </w:numPr>
        <w:ind w:hanging="0" w:left="0"/>
        <w:rPr>
          <w:rFonts w:ascii="Arial" w:hAnsi="Arial"/>
        </w:rPr>
      </w:pPr>
      <w:r>
        <w:rPr>
          <w:lang w:eastAsia="en-US"/>
        </w:rPr>
        <w:t>Quando do pagamento, será efetuada a retenção tributária prevista na legislação aplicável.</w:t>
      </w:r>
    </w:p>
    <w:p>
      <w:pPr>
        <w:pStyle w:val="Nivel3"/>
        <w:numPr>
          <w:ilvl w:val="2"/>
          <w:numId w:val="188"/>
        </w:numPr>
        <w:ind w:hanging="0" w:left="284"/>
        <w:rPr>
          <w:rFonts w:ascii="Arial" w:hAnsi="Arial"/>
        </w:rPr>
      </w:pPr>
      <w:r>
        <w:rPr>
          <w:lang w:eastAsia="en-US"/>
        </w:rPr>
        <w:t>Independentemente do percentual de tributo inserido na planilha, quando houver, serão retidos na fonte, quando da realização do pagamento, os percentuais estabelecidos na legislação vigente.</w:t>
      </w:r>
    </w:p>
    <w:p>
      <w:pPr>
        <w:pStyle w:val="Nivel2"/>
        <w:numPr>
          <w:ilvl w:val="1"/>
          <w:numId w:val="189"/>
        </w:numPr>
        <w:ind w:hanging="0" w:left="0"/>
        <w:rPr/>
      </w:pPr>
      <w:r>
        <w:rPr>
          <w:lang w:eastAsia="en-US"/>
        </w:rPr>
        <w:t xml:space="preserve">O contratado regularmente optante pelo Simples Nacional, nos termos da </w:t>
      </w:r>
      <w:hyperlink r:id="rId4">
        <w:r>
          <w:rPr>
            <w:rStyle w:val="Hyperlink"/>
            <w:lang w:eastAsia="en-US"/>
          </w:rPr>
          <w:t>Lei Complementar nº 123, de 2006</w:t>
        </w:r>
      </w:hyperlink>
      <w:r>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
        <w:ind w:hanging="0" w:left="0"/>
        <w:rPr>
          <w:rFonts w:ascii="Arial" w:hAnsi="Arial"/>
          <w:lang w:eastAsia="en-US"/>
        </w:rPr>
      </w:pPr>
      <w:r>
        <w:rPr>
          <w:lang w:eastAsia="en-US"/>
        </w:rPr>
      </w:r>
    </w:p>
    <w:p>
      <w:pPr>
        <w:pStyle w:val="Nvel1-SemNumPreto"/>
        <w:ind w:hanging="0" w:left="0"/>
        <w:rPr>
          <w:rFonts w:ascii="Arial" w:hAnsi="Arial"/>
        </w:rPr>
      </w:pPr>
      <w:r>
        <w:rPr/>
        <w:t>Cessão de crédito</w:t>
      </w:r>
    </w:p>
    <w:p>
      <w:pPr>
        <w:pStyle w:val="Nivel2"/>
        <w:numPr>
          <w:ilvl w:val="1"/>
          <w:numId w:val="190"/>
        </w:numPr>
        <w:ind w:hanging="0" w:left="0"/>
        <w:rPr/>
      </w:pPr>
      <w:r>
        <w:rPr>
          <w:lang w:eastAsia="en-US"/>
        </w:rPr>
        <w:t xml:space="preserve">É admitida a cessão fiduciária de direitos creditícios com instituição financeira, nos termos e de acordo com os procedimentos previstos na </w:t>
      </w:r>
      <w:hyperlink r:id="rId5">
        <w:r>
          <w:rPr>
            <w:rStyle w:val="Hyperlink"/>
            <w:lang w:eastAsia="en-US"/>
          </w:rPr>
          <w:t>Instrução Normativa SEGES/ME nº 53, de 8 de Julho de 2020</w:t>
        </w:r>
      </w:hyperlink>
      <w:r>
        <w:rPr>
          <w:lang w:eastAsia="en-US"/>
        </w:rPr>
        <w:t>, conforme as regras deste presente tópico.</w:t>
      </w:r>
    </w:p>
    <w:p>
      <w:pPr>
        <w:pStyle w:val="Nivel2"/>
        <w:numPr>
          <w:ilvl w:val="1"/>
          <w:numId w:val="191"/>
        </w:numPr>
        <w:ind w:hanging="0" w:left="0"/>
        <w:rPr>
          <w:rFonts w:ascii="Arial" w:hAnsi="Arial"/>
        </w:rPr>
      </w:pPr>
      <w:r>
        <w:rPr>
          <w:lang w:eastAsia="en-US"/>
        </w:rPr>
        <w:t>A eficácia da cessão de crédito</w:t>
      </w:r>
      <w:r>
        <w:rPr/>
        <w:t xml:space="preserve"> não abrangidas pela Instrução Normativa SEGES/ME nº 53, de 8 de julho de 2020,</w:t>
      </w:r>
      <w:r>
        <w:rPr>
          <w:lang w:eastAsia="en-US"/>
        </w:rPr>
        <w:t xml:space="preserve"> em relação à Administração, está condicionada à celebração de termo aditivo ao contrato administrativo.</w:t>
      </w:r>
    </w:p>
    <w:p>
      <w:pPr>
        <w:pStyle w:val="Nivel2"/>
        <w:numPr>
          <w:ilvl w:val="1"/>
          <w:numId w:val="192"/>
        </w:numPr>
        <w:ind w:hanging="0" w:left="0"/>
        <w:rPr/>
      </w:pPr>
      <w:r>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rPr>
          <w:rStyle w:val="Hyperlink"/>
          <w:lang w:eastAsia="en-US"/>
        </w:rPr>
        <w:instrText xml:space="preserve"> HYPERLINK "https://www.planalto.gov.br/ccivil_03/leis/l8429.htm" \l ":~:text=LEI%20N%C2%BA%208.429%2C%20DE%202%20DE%20JUNHO%20DE%201992&amp;text=Disp%C3%B5e%20sobre%20as%20san%C3%A7%C3%B5es%20aplic%C3%A1veis,fundacional%20e%20d%C3%A1%20outras%20provid%C3%AAncias."</w:instrText>
      </w:r>
      <w:r>
        <w:rPr>
          <w:rStyle w:val="Hyperlink"/>
          <w:lang w:eastAsia="en-US"/>
        </w:rPr>
        <w:fldChar w:fldCharType="separate"/>
      </w:r>
      <w:r>
        <w:rPr>
          <w:rStyle w:val="Hyperlink"/>
          <w:lang w:eastAsia="en-US"/>
        </w:rPr>
        <w:t>o art. 12 da Lei nº 8.429, de 1992</w:t>
      </w:r>
      <w:r>
        <w:rPr>
          <w:rStyle w:val="Hyperlink"/>
          <w:lang w:eastAsia="en-US"/>
        </w:rPr>
        <w:fldChar w:fldCharType="end"/>
      </w:r>
      <w:r>
        <w:rPr>
          <w:lang w:eastAsia="en-US"/>
        </w:rPr>
        <w:t xml:space="preserve">, nos termos do </w:t>
      </w:r>
      <w:hyperlink r:id="rId6">
        <w:r>
          <w:rPr>
            <w:rStyle w:val="Hyperlink"/>
            <w:lang w:eastAsia="en-US"/>
          </w:rPr>
          <w:t>Parecer JL-01, de 18 de maio de 2020.</w:t>
        </w:r>
      </w:hyperlink>
    </w:p>
    <w:p>
      <w:pPr>
        <w:pStyle w:val="Nivel2"/>
        <w:numPr>
          <w:ilvl w:val="1"/>
          <w:numId w:val="193"/>
        </w:numPr>
        <w:ind w:hanging="0" w:left="0"/>
        <w:rPr>
          <w:rFonts w:ascii="Arial" w:hAnsi="Arial"/>
        </w:rPr>
      </w:pPr>
      <w:r>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sz w:val="19"/>
          <w:szCs w:val="19"/>
        </w:rPr>
        <w:t xml:space="preserve"> (INSTRUÇÃO NORMATIVA Nº 53, DE 8 DE JULHO DE 2020 e Anexos)</w:t>
      </w:r>
    </w:p>
    <w:p>
      <w:pPr>
        <w:pStyle w:val="Nivel2"/>
        <w:numPr>
          <w:ilvl w:val="1"/>
          <w:numId w:val="194"/>
        </w:numPr>
        <w:ind w:hanging="0" w:left="0"/>
        <w:rPr>
          <w:rFonts w:ascii="Arial" w:hAnsi="Arial"/>
        </w:rPr>
      </w:pPr>
      <w:r>
        <w:rPr>
          <w:lang w:eastAsia="en-US"/>
        </w:rPr>
        <w:t>A cessão de crédito não afetará a execução do objeto contratado, que continuará sob a integral responsabilidade do contratado.</w:t>
      </w:r>
    </w:p>
    <w:p>
      <w:pPr>
        <w:pStyle w:val="Nivel01"/>
        <w:numPr>
          <w:ilvl w:val="0"/>
          <w:numId w:val="4"/>
        </w:numPr>
        <w:ind w:hanging="0" w:left="0"/>
        <w:rPr>
          <w:rFonts w:ascii="Arial" w:hAnsi="Arial"/>
        </w:rPr>
      </w:pPr>
      <w:r>
        <w:rPr/>
        <w:t>FORMA E CRITÉRIOS DE SELEÇÃO DO FORNECEDOR E FORMA DE FORNECIMENTO</w:t>
      </w:r>
    </w:p>
    <w:p>
      <w:pPr>
        <w:pStyle w:val="Nvel1-SemNumPreto"/>
        <w:ind w:hanging="0" w:left="0"/>
        <w:rPr>
          <w:rFonts w:ascii="Arial" w:hAnsi="Arial"/>
        </w:rPr>
      </w:pPr>
      <w:r>
        <w:rPr/>
        <w:t>Forma de seleção e critério de julgamento da proposta</w:t>
      </w:r>
    </w:p>
    <w:p>
      <w:pPr>
        <w:pStyle w:val="Nivel2"/>
        <w:numPr>
          <w:ilvl w:val="1"/>
          <w:numId w:val="195"/>
        </w:numPr>
        <w:ind w:hanging="0" w:left="0"/>
        <w:rPr>
          <w:rFonts w:ascii="Arial" w:hAnsi="Arial"/>
        </w:rPr>
      </w:pPr>
      <w:r>
        <w:rPr/>
        <w:t xml:space="preserve">O fornecedor será selecionado por meio da realização de procedimento de LICITAÇÃO, na modalidade PREGÃO, sob a forma ELETRÔNICA, com adoção do critério de julgamento pelo </w:t>
      </w:r>
      <w:r>
        <w:rPr>
          <w:color w:val="000000"/>
        </w:rPr>
        <w:t>MENOR PREÇO.</w:t>
      </w:r>
    </w:p>
    <w:p>
      <w:pPr>
        <w:pStyle w:val="Nvel1-SemNumPreto"/>
        <w:ind w:hanging="0" w:left="0"/>
        <w:rPr>
          <w:rFonts w:ascii="Arial" w:hAnsi="Arial"/>
        </w:rPr>
      </w:pPr>
      <w:r>
        <w:rPr/>
        <w:t>Exigências de habilitação</w:t>
      </w:r>
    </w:p>
    <w:p>
      <w:pPr>
        <w:pStyle w:val="Nivel2"/>
        <w:numPr>
          <w:ilvl w:val="1"/>
          <w:numId w:val="196"/>
        </w:numPr>
        <w:ind w:hanging="0" w:left="0"/>
        <w:rPr>
          <w:rFonts w:ascii="Arial" w:hAnsi="Arial"/>
        </w:rPr>
      </w:pPr>
      <w:r>
        <w:rPr/>
        <w:t>Para fins de habilitação, deverá o licitante comprovar os seguintes requisitos:</w:t>
      </w:r>
    </w:p>
    <w:p>
      <w:pPr>
        <w:pStyle w:val="Nvel1-SemNumPreto"/>
        <w:ind w:hanging="0" w:left="0"/>
        <w:rPr>
          <w:rFonts w:ascii="Arial" w:hAnsi="Arial"/>
        </w:rPr>
      </w:pPr>
      <w:r>
        <w:rPr/>
        <w:t>Habilitação jurídica</w:t>
      </w:r>
    </w:p>
    <w:p>
      <w:pPr>
        <w:pStyle w:val="Nivel2"/>
        <w:numPr>
          <w:ilvl w:val="1"/>
          <w:numId w:val="197"/>
        </w:numPr>
        <w:ind w:hanging="0" w:left="0"/>
        <w:rPr>
          <w:rFonts w:ascii="Arial" w:hAnsi="Arial"/>
        </w:rPr>
      </w:pPr>
      <w:bookmarkStart w:id="1" w:name="_Ref115800561"/>
      <w:r>
        <w:rPr>
          <w:b/>
          <w:bCs/>
        </w:rPr>
        <w:t>Pessoa física:</w:t>
      </w:r>
      <w:r>
        <w:rPr/>
        <w:t xml:space="preserve"> cédula de identidade (RG) ou documento equivalente que, por força de lei, tenha validade para fins de identificação em todo o território nacional;</w:t>
      </w:r>
      <w:bookmarkEnd w:id="1"/>
    </w:p>
    <w:p>
      <w:pPr>
        <w:pStyle w:val="Nivel2"/>
        <w:numPr>
          <w:ilvl w:val="1"/>
          <w:numId w:val="198"/>
        </w:numPr>
        <w:ind w:hanging="0" w:left="0"/>
        <w:rPr>
          <w:rFonts w:ascii="Arial" w:hAnsi="Arial"/>
        </w:rPr>
      </w:pPr>
      <w:r>
        <w:rPr>
          <w:b/>
          <w:bCs/>
        </w:rPr>
        <w:t>Empresário individual:</w:t>
      </w:r>
      <w:r>
        <w:rPr/>
        <w:t xml:space="preserve"> inscrição no Registro Público de Empresas Mercantis, a cargo da Junta Comercial da respectiva sede; </w:t>
      </w:r>
    </w:p>
    <w:p>
      <w:pPr>
        <w:pStyle w:val="Nivel2"/>
        <w:numPr>
          <w:ilvl w:val="1"/>
          <w:numId w:val="199"/>
        </w:numPr>
        <w:ind w:hanging="0" w:left="0"/>
        <w:rPr/>
      </w:pPr>
      <w:r>
        <w:rPr>
          <w:b/>
          <w:bCs/>
        </w:rPr>
        <w:t>Microempreendedor Individual - MEI:</w:t>
      </w:r>
      <w:r>
        <w:rPr/>
        <w:t xml:space="preserve"> Certificado da Condição de Microempreendedor Individual - CCMEI, cuja aceitação ficará condicionada à verificação da autenticidade no sítio </w:t>
      </w:r>
      <w:hyperlink r:id="rId7">
        <w:r>
          <w:rPr>
            <w:rStyle w:val="Hyperlink"/>
          </w:rPr>
          <w:t>https://www.gov.br/empresas-e-negocios/pt-br/empreendedor</w:t>
        </w:r>
      </w:hyperlink>
      <w:r>
        <w:rPr/>
        <w:t xml:space="preserve">; </w:t>
      </w:r>
    </w:p>
    <w:p>
      <w:pPr>
        <w:pStyle w:val="Nivel2"/>
        <w:numPr>
          <w:ilvl w:val="1"/>
          <w:numId w:val="200"/>
        </w:numPr>
        <w:ind w:hanging="0" w:left="0"/>
        <w:rPr>
          <w:rFonts w:ascii="Arial" w:hAnsi="Arial"/>
        </w:rPr>
      </w:pPr>
      <w:r>
        <w:rPr>
          <w:color w:val="000000"/>
        </w:rPr>
        <w:t>Sociedade empresária, sociedade limitada unipessoal – SLU ou sociedade identificada como empresa individual de responsabilidade limitada - EIRELI:</w:t>
      </w:r>
      <w:r>
        <w:rPr/>
        <w:t xml:space="preserve"> inscrição do ato constitutivo, estatuto ou contrato social no Registro Público de Empresas Mercantis, a cargo da Junta Comercial da respectiva sede, acompanhada de documento comprobatório de seus administradores;</w:t>
      </w:r>
    </w:p>
    <w:p>
      <w:pPr>
        <w:pStyle w:val="Nivel2"/>
        <w:numPr>
          <w:ilvl w:val="1"/>
          <w:numId w:val="201"/>
        </w:numPr>
        <w:ind w:hanging="0" w:left="0"/>
        <w:rPr/>
      </w:pPr>
      <w:r>
        <w:rPr>
          <w:b/>
          <w:bCs/>
        </w:rPr>
        <w:t>Sociedade empresária estrangeira:</w:t>
      </w:r>
      <w: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
        <w:r>
          <w:rPr>
            <w:rStyle w:val="Hyperlink"/>
          </w:rPr>
          <w:t>Normativa DREI/ME n.º 77, de 18 de março de 2020</w:t>
        </w:r>
      </w:hyperlink>
      <w:r>
        <w:rPr/>
        <w:t>.</w:t>
      </w:r>
    </w:p>
    <w:p>
      <w:pPr>
        <w:pStyle w:val="Nivel2"/>
        <w:numPr>
          <w:ilvl w:val="1"/>
          <w:numId w:val="202"/>
        </w:numPr>
        <w:ind w:hanging="0" w:left="0"/>
        <w:rPr>
          <w:rFonts w:ascii="Arial" w:hAnsi="Arial"/>
        </w:rPr>
      </w:pPr>
      <w:r>
        <w:rPr>
          <w:b/>
          <w:bCs/>
        </w:rPr>
        <w:t xml:space="preserve">Sociedade simples: </w:t>
      </w:r>
      <w:r>
        <w:rPr/>
        <w:t>inscrição do ato constitutivo no Registro Civil de Pessoas Jurídicas do local de sua sede, acompanhada de documento comprobatório de seus administradores;</w:t>
      </w:r>
    </w:p>
    <w:p>
      <w:pPr>
        <w:pStyle w:val="Nivel2"/>
        <w:numPr>
          <w:ilvl w:val="1"/>
          <w:numId w:val="203"/>
        </w:numPr>
        <w:ind w:hanging="0" w:left="0"/>
        <w:rPr>
          <w:rFonts w:ascii="Arial" w:hAnsi="Arial"/>
        </w:rPr>
      </w:pPr>
      <w:r>
        <w:rPr>
          <w:b/>
          <w:bCs/>
        </w:rPr>
        <w:t>Filial, sucursal ou agência de sociedade simples ou empresária:</w:t>
      </w:r>
      <w:r>
        <w:rPr/>
        <w:t xml:space="preserve"> inscrição do ato constitutivo da filial, sucursal ou agência da sociedade simples ou empresária, respectivamente, no Registro Civil das Pessoas Jurídicas ou no Registro Público de Empresas </w:t>
      </w:r>
      <w:bookmarkStart w:id="2" w:name="_Int_ySfCXwr4"/>
      <w:r>
        <w:rPr/>
        <w:t>Mercantis onde</w:t>
      </w:r>
      <w:bookmarkEnd w:id="2"/>
      <w:r>
        <w:rPr/>
        <w:t xml:space="preserve"> opera, com averbação no Registro onde tem sede a matriz</w:t>
      </w:r>
    </w:p>
    <w:p>
      <w:pPr>
        <w:pStyle w:val="Nivel2"/>
        <w:numPr>
          <w:ilvl w:val="1"/>
          <w:numId w:val="204"/>
        </w:numPr>
        <w:ind w:hanging="0" w:left="0"/>
        <w:rPr/>
      </w:pPr>
      <w:r>
        <w:rPr>
          <w:b/>
          <w:bCs/>
        </w:rPr>
        <w:t>Sociedade cooperativa:</w:t>
      </w:r>
      <w:r>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Hyperlink"/>
        </w:rPr>
        <w:instrText xml:space="preserve"> HYPERLINK "https://www.planalto.gov.br/ccivil_03/leis/l5764.htm" \l "art107"</w:instrText>
      </w:r>
      <w:r>
        <w:rPr>
          <w:rStyle w:val="Hyperlink"/>
        </w:rPr>
        <w:fldChar w:fldCharType="separate"/>
      </w:r>
      <w:r>
        <w:rPr>
          <w:rStyle w:val="Hyperlink"/>
        </w:rPr>
        <w:t>art. 107 da Lei nº 5.764, de 16 de dezembro 1971</w:t>
      </w:r>
      <w:r>
        <w:rPr>
          <w:rStyle w:val="Hyperlink"/>
        </w:rPr>
        <w:fldChar w:fldCharType="end"/>
      </w:r>
      <w:r>
        <w:rPr/>
        <w:t>.</w:t>
      </w:r>
    </w:p>
    <w:p>
      <w:pPr>
        <w:pStyle w:val="Nivel2"/>
        <w:numPr>
          <w:ilvl w:val="1"/>
          <w:numId w:val="205"/>
        </w:numPr>
        <w:ind w:hanging="0" w:left="0"/>
        <w:rPr/>
      </w:pPr>
      <w:r>
        <w:rPr>
          <w:b/>
          <w:bCs/>
        </w:rPr>
        <w:t>Agricultor familiar:</w:t>
      </w:r>
      <w:r>
        <w:rPr/>
        <w:t xml:space="preserve"> Declaração de Aptidão ao Pronaf – DAP ou DAP-P válida, ou, ainda, outros documentos definidos pela Secretaria Especial de Agricultura Familiar e do Desenvolvimento Agrário, nos termos do</w:t>
      </w:r>
      <w:r>
        <w:fldChar w:fldCharType="begin"/>
      </w:r>
      <w:r>
        <w:rPr>
          <w:rStyle w:val="Hyperlink"/>
        </w:rPr>
        <w:instrText xml:space="preserve"> HYPERLINK "https://www.planalto.gov.br/ccivil_03/_ato2019-2022/2021/decreto/d10880.htm" \l "art4%C2%A72"</w:instrText>
      </w:r>
      <w:r>
        <w:rPr>
          <w:rStyle w:val="Hyperlink"/>
        </w:rPr>
        <w:fldChar w:fldCharType="separate"/>
      </w:r>
      <w:r>
        <w:rPr>
          <w:rStyle w:val="Hyperlink"/>
        </w:rPr>
        <w:t xml:space="preserve"> art. 4º, §2º do Decreto nº 10.880, de 2 de dezembro de 2021</w:t>
      </w:r>
      <w:r>
        <w:rPr>
          <w:rStyle w:val="Hyperlink"/>
        </w:rPr>
        <w:fldChar w:fldCharType="end"/>
      </w:r>
      <w:r>
        <w:rPr/>
        <w:t>.</w:t>
      </w:r>
    </w:p>
    <w:p>
      <w:pPr>
        <w:pStyle w:val="Nivel2"/>
        <w:numPr>
          <w:ilvl w:val="1"/>
          <w:numId w:val="206"/>
        </w:numPr>
        <w:ind w:hanging="0" w:left="0"/>
        <w:rPr/>
      </w:pPr>
      <w:r>
        <w:rPr>
          <w:b/>
          <w:bCs/>
        </w:rPr>
        <w:t>Produtor Rural:</w:t>
      </w:r>
      <w:r>
        <w:rPr/>
        <w:t xml:space="preserve"> matrícula no Cadastro Específico do INSS – CEI, que comprove a qualificação como produtor rural pessoa física, nos termos da </w:t>
      </w:r>
      <w:hyperlink r:id="rId9">
        <w:r>
          <w:rPr>
            <w:rStyle w:val="Hyperlink"/>
          </w:rPr>
          <w:t>Instrução Normativa RFB n. 971, de 13 de novembro de 2009</w:t>
        </w:r>
      </w:hyperlink>
      <w:r>
        <w:rPr/>
        <w:t xml:space="preserve"> (arts. 17 a 19 e 165).</w:t>
      </w:r>
    </w:p>
    <w:p>
      <w:pPr>
        <w:pStyle w:val="Nivel2"/>
        <w:numPr>
          <w:ilvl w:val="1"/>
          <w:numId w:val="207"/>
        </w:numPr>
        <w:ind w:hanging="0" w:left="0"/>
        <w:rPr>
          <w:rFonts w:ascii="Arial" w:hAnsi="Arial"/>
        </w:rPr>
      </w:pPr>
      <w:r>
        <w:rPr/>
        <w:t>Os documentos apresentados deverão estar acompanhados de todas as alterações ou da consolidação respectiva.</w:t>
      </w:r>
    </w:p>
    <w:p>
      <w:pPr>
        <w:pStyle w:val="Nvel1-SemNumPreto"/>
        <w:ind w:hanging="0" w:left="0"/>
        <w:rPr>
          <w:rFonts w:ascii="Arial" w:hAnsi="Arial"/>
        </w:rPr>
      </w:pPr>
      <w:r>
        <w:rPr/>
        <w:t>Habilitação fiscal, social e trabalhista</w:t>
      </w:r>
    </w:p>
    <w:p>
      <w:pPr>
        <w:pStyle w:val="Nivel2"/>
        <w:numPr>
          <w:ilvl w:val="1"/>
          <w:numId w:val="208"/>
        </w:numPr>
        <w:ind w:hanging="0" w:left="0"/>
        <w:rPr>
          <w:rFonts w:ascii="Arial" w:hAnsi="Arial"/>
        </w:rPr>
      </w:pPr>
      <w:r>
        <w:rPr/>
        <w:t>Prova de inscrição no Cadastro Nacional de Pessoas Jurídicas ou no Cadastro de Pessoas Físicas, conforme o caso;</w:t>
      </w:r>
    </w:p>
    <w:p>
      <w:pPr>
        <w:pStyle w:val="Nivel2"/>
        <w:numPr>
          <w:ilvl w:val="1"/>
          <w:numId w:val="209"/>
        </w:numPr>
        <w:ind w:hanging="0" w:left="0"/>
        <w:rPr>
          <w:rFonts w:ascii="Arial" w:hAnsi="Arial"/>
        </w:rPr>
      </w:pPr>
      <w: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210"/>
        </w:numPr>
        <w:ind w:hanging="0" w:left="0"/>
        <w:rPr>
          <w:rFonts w:ascii="Arial" w:hAnsi="Arial"/>
        </w:rPr>
      </w:pPr>
      <w:r>
        <w:rPr/>
        <w:t>Prova de regularidade com o Fundo de Garantia do Tempo de Serviço (FGTS);</w:t>
      </w:r>
    </w:p>
    <w:p>
      <w:pPr>
        <w:pStyle w:val="Nivel2"/>
        <w:numPr>
          <w:ilvl w:val="1"/>
          <w:numId w:val="211"/>
        </w:numPr>
        <w:ind w:hanging="0" w:left="0"/>
        <w:rPr>
          <w:rFonts w:ascii="Arial" w:hAnsi="Arial"/>
        </w:rPr>
      </w:pPr>
      <w: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212"/>
        </w:numPr>
        <w:ind w:hanging="0" w:left="0"/>
        <w:rPr>
          <w:rFonts w:ascii="Arial" w:hAnsi="Arial"/>
        </w:rPr>
      </w:pPr>
      <w:r>
        <w:rPr>
          <w:color w:val="000000"/>
        </w:rPr>
        <w:t xml:space="preserve">Prova de inscrição no cadastro de contribuintes </w:t>
      </w:r>
      <w:r>
        <w:rPr>
          <w:i/>
          <w:iCs/>
          <w:color w:val="000000"/>
        </w:rPr>
        <w:t>Municipal/Distrital</w:t>
      </w:r>
      <w:r>
        <w:rPr>
          <w:color w:val="000000"/>
        </w:rPr>
        <w:t xml:space="preserve"> relativo ao domicílio ou sede do fornecedor, pertinente ao seu ramo de atividade e compatível com o objeto contratual;</w:t>
      </w:r>
      <w:r>
        <w:rPr/>
        <w:t xml:space="preserve"> </w:t>
      </w:r>
    </w:p>
    <w:p>
      <w:pPr>
        <w:pStyle w:val="Nivel2"/>
        <w:numPr>
          <w:ilvl w:val="1"/>
          <w:numId w:val="213"/>
        </w:numPr>
        <w:ind w:hanging="0" w:left="0"/>
        <w:rPr>
          <w:rFonts w:ascii="Arial" w:hAnsi="Arial"/>
        </w:rPr>
      </w:pPr>
      <w:r>
        <w:rPr/>
        <w:t xml:space="preserve">Prova de regularidade com a Fazenda </w:t>
      </w:r>
      <w:r>
        <w:rPr>
          <w:i/>
          <w:iCs/>
          <w:color w:val="000000"/>
        </w:rPr>
        <w:t>Municipal/Distrital</w:t>
      </w:r>
      <w:r>
        <w:rPr>
          <w:color w:val="FF0000"/>
        </w:rPr>
        <w:t xml:space="preserve"> </w:t>
      </w:r>
      <w:r>
        <w:rPr/>
        <w:t>do domicílio ou sede do fornecedor, relativa à atividade em cujo exercício contrata ou concorre;</w:t>
      </w:r>
    </w:p>
    <w:p>
      <w:pPr>
        <w:pStyle w:val="Nivel2"/>
        <w:numPr>
          <w:ilvl w:val="1"/>
          <w:numId w:val="214"/>
        </w:numPr>
        <w:ind w:hanging="0" w:left="0"/>
        <w:rPr>
          <w:rFonts w:ascii="Arial" w:hAnsi="Arial"/>
        </w:rPr>
      </w:pPr>
      <w:r>
        <w:rPr/>
        <w:t>Caso o fornecedor seja considerado isento dos tributo</w:t>
      </w:r>
      <w:r>
        <w:rPr>
          <w:color w:val="000000"/>
        </w:rPr>
        <w:t xml:space="preserve">s </w:t>
      </w:r>
      <w:r>
        <w:rPr>
          <w:i/>
          <w:iCs/>
          <w:color w:val="000000"/>
        </w:rPr>
        <w:t>Municipal/Distrital</w:t>
      </w:r>
      <w:r>
        <w:rPr>
          <w:color w:val="FF0000"/>
        </w:rPr>
        <w:t xml:space="preserve"> </w:t>
      </w:r>
      <w:r>
        <w:rPr/>
        <w:t>relacionados ao objeto contratual, deverá comprovar tal condição mediante a apresentação de declaração da Fazenda respectiva do seu domicílio ou sede, ou outra equivalente, na forma da lei.</w:t>
      </w:r>
    </w:p>
    <w:p>
      <w:pPr>
        <w:pStyle w:val="Nivel2"/>
        <w:numPr>
          <w:ilvl w:val="1"/>
          <w:numId w:val="215"/>
        </w:numPr>
        <w:ind w:hanging="0" w:left="0"/>
        <w:rPr>
          <w:rFonts w:ascii="Arial" w:hAnsi="Arial"/>
        </w:rPr>
      </w:pPr>
      <w:r>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vel1-SemNumPreto"/>
        <w:ind w:hanging="0" w:left="0"/>
        <w:rPr>
          <w:rFonts w:ascii="Arial" w:hAnsi="Arial"/>
        </w:rPr>
      </w:pPr>
      <w:r>
        <w:rPr/>
        <w:t>Qualificação Econômico-Financeira</w:t>
      </w:r>
    </w:p>
    <w:p>
      <w:pPr>
        <w:pStyle w:val="Nivel2"/>
        <w:numPr>
          <w:ilvl w:val="1"/>
          <w:numId w:val="216"/>
        </w:numPr>
        <w:ind w:hanging="0" w:left="0"/>
        <w:rPr/>
      </w:pPr>
      <w:r>
        <w:rPr/>
        <w:t>Certidão negativa de insolvência civil expedida pelo distribuidor do domicílio ou sede do licitante, caso se trate de pessoa física, desde que admitida a sua participação na licitação (</w:t>
      </w:r>
      <w:r>
        <w:fldChar w:fldCharType="begin"/>
      </w:r>
      <w:r>
        <w:rPr>
          <w:rStyle w:val="Hyperlink"/>
        </w:rPr>
        <w:instrText xml:space="preserve"> HYPERLINK "https://www.gov.br/compras/pt-br/acesso-a-informacao/legislacao/instrucoes-normativas/instrucao-normativa-seges-me-no-116-de-21-de-dezembro-de-2021" \l "art5"</w:instrText>
      </w:r>
      <w:r>
        <w:rPr>
          <w:rStyle w:val="Hyperlink"/>
        </w:rPr>
        <w:fldChar w:fldCharType="separate"/>
      </w:r>
      <w:r>
        <w:rPr>
          <w:rStyle w:val="Hyperlink"/>
        </w:rPr>
        <w:t>art. 5º, inciso II, alínea “c”, da Instrução Normativa Seges/ME nº 116, de 2021</w:t>
      </w:r>
      <w:r>
        <w:rPr>
          <w:rStyle w:val="Hyperlink"/>
        </w:rPr>
        <w:fldChar w:fldCharType="end"/>
      </w:r>
      <w:r>
        <w:rPr/>
        <w:t xml:space="preserve">), ou de sociedade simples; </w:t>
      </w:r>
    </w:p>
    <w:p>
      <w:pPr>
        <w:pStyle w:val="Nivel2"/>
        <w:numPr>
          <w:ilvl w:val="1"/>
          <w:numId w:val="217"/>
        </w:numPr>
        <w:ind w:hanging="0" w:left="0"/>
        <w:rPr/>
      </w:pPr>
      <w:r>
        <w:rPr/>
        <w:t xml:space="preserve">Certidão negativa de falência expedida pelo distribuidor da sede do fornecedor - </w:t>
      </w:r>
      <w:r>
        <w:fldChar w:fldCharType="begin"/>
      </w:r>
      <w:r>
        <w:rPr>
          <w:rStyle w:val="Hyperlink"/>
        </w:rPr>
        <w:instrText xml:space="preserve"> HYPERLINK "http://www.planalto.gov.br/ccivil_03/_ato2019-2022/2021/lei/L14133.htm" \l "art69"</w:instrText>
      </w:r>
      <w:r>
        <w:rPr>
          <w:rStyle w:val="Hyperlink"/>
        </w:rPr>
        <w:fldChar w:fldCharType="separate"/>
      </w:r>
      <w:r>
        <w:rPr>
          <w:rStyle w:val="Hyperlink"/>
        </w:rPr>
        <w:t>Lei nº 14.133, de 2021, art. 69, caput, inciso II</w:t>
      </w:r>
      <w:r>
        <w:rPr>
          <w:rStyle w:val="Hyperlink"/>
        </w:rPr>
        <w:fldChar w:fldCharType="end"/>
      </w:r>
      <w:r>
        <w:rPr/>
        <w:t>);</w:t>
      </w:r>
    </w:p>
    <w:p>
      <w:pPr>
        <w:pStyle w:val="Nivel2"/>
        <w:numPr>
          <w:ilvl w:val="1"/>
          <w:numId w:val="218"/>
        </w:numPr>
        <w:ind w:hanging="0" w:left="0"/>
        <w:rPr>
          <w:rFonts w:ascii="Arial" w:hAnsi="Arial"/>
        </w:rPr>
      </w:pPr>
      <w:r>
        <w:rPr/>
        <w:t>Balanço patrimonial, demonstração de resultado de exercício e demais demonstrações contábeis dos 2 (dois) últimos exercícios sociais, comprovando;</w:t>
      </w:r>
    </w:p>
    <w:p>
      <w:pPr>
        <w:pStyle w:val="Nivel3"/>
        <w:numPr>
          <w:ilvl w:val="2"/>
          <w:numId w:val="219"/>
        </w:numPr>
        <w:ind w:hanging="0" w:left="284"/>
        <w:rPr>
          <w:rFonts w:ascii="Arial" w:hAnsi="Arial"/>
        </w:rPr>
      </w:pPr>
      <w:r>
        <w:rPr/>
        <w:t>índices de Liquidez Geral (LG), Liquidez Corrente (LC), e Solvência Geral (SG) superiores a 1 (um);</w:t>
      </w:r>
    </w:p>
    <w:p>
      <w:pPr>
        <w:pStyle w:val="Nivel3"/>
        <w:numPr>
          <w:ilvl w:val="2"/>
          <w:numId w:val="220"/>
        </w:numPr>
        <w:ind w:hanging="0" w:left="284"/>
        <w:rPr>
          <w:rFonts w:ascii="Arial" w:hAnsi="Arial"/>
        </w:rPr>
      </w:pPr>
      <w:r>
        <w:rPr/>
        <w:t>As empresas criadas no exercício financeiro da licitação deverão atender a todas as exigências da habilitação e poderão substituir os demonstrativos contábeis pelo balanço de abertura.</w:t>
      </w:r>
    </w:p>
    <w:p>
      <w:pPr>
        <w:pStyle w:val="Nivel3"/>
        <w:numPr>
          <w:ilvl w:val="2"/>
          <w:numId w:val="221"/>
        </w:numPr>
        <w:ind w:hanging="0" w:left="284"/>
        <w:rPr>
          <w:rFonts w:ascii="Arial" w:hAnsi="Arial"/>
        </w:rPr>
      </w:pPr>
      <w:r>
        <w:rPr/>
        <w:t>Os documentos referidos acima limitar-se-ão ao último exercício no caso de a pessoa jurídica ter sido constituída há menos de 2 (dois) anos;</w:t>
      </w:r>
    </w:p>
    <w:p>
      <w:pPr>
        <w:pStyle w:val="Nivel3"/>
        <w:numPr>
          <w:ilvl w:val="2"/>
          <w:numId w:val="222"/>
        </w:numPr>
        <w:ind w:hanging="0" w:left="284"/>
        <w:rPr>
          <w:rFonts w:ascii="Arial" w:hAnsi="Arial"/>
        </w:rPr>
      </w:pPr>
      <w:r>
        <w:rPr/>
        <w:t>Os documentos referidos acima deverão ser exigidos com base no limite definido pela Receita Federal do Brasil para transmissão da Escrituração Contábil Digital - ECD ao Sped.</w:t>
      </w:r>
    </w:p>
    <w:p>
      <w:pPr>
        <w:pStyle w:val="Nivel2"/>
        <w:numPr>
          <w:ilvl w:val="1"/>
          <w:numId w:val="223"/>
        </w:numPr>
        <w:ind w:hanging="0" w:left="0"/>
        <w:rPr>
          <w:rFonts w:ascii="Arial" w:hAnsi="Arial"/>
        </w:rPr>
      </w:pPr>
      <w:r>
        <w:rPr/>
        <w:t>C</w:t>
      </w:r>
      <w:r>
        <w:rPr>
          <w:color w:val="000000"/>
        </w:rPr>
        <w:t>aso a empresa licitante apresente resultado inferior ou igual a 1 (um) em qualquer dos índices de Liquidez Geral (LG), Solvência Geral (SG) e Liquidez Corrente (LC), será exigido para fins de habilitação capital mínimo de 10% [até 10%] do valor total estimado da contratação.</w:t>
      </w:r>
    </w:p>
    <w:p>
      <w:pPr>
        <w:pStyle w:val="Nivel2"/>
        <w:numPr>
          <w:ilvl w:val="1"/>
          <w:numId w:val="224"/>
        </w:numPr>
        <w:ind w:hanging="0" w:left="0"/>
        <w:rPr>
          <w:rFonts w:ascii="Arial" w:hAnsi="Arial"/>
        </w:rPr>
      </w:pPr>
      <w:r>
        <w:rPr/>
        <w:t>As empresas criadas no exercício financeiro da licitação deverão atender a todas as exigências da habilitação e poderão substituir os demonstrativos contábeis pelo balanço de abertura. (Lei nº 14.133, de 2021, art. 65, §1º).</w:t>
      </w:r>
    </w:p>
    <w:p>
      <w:pPr>
        <w:pStyle w:val="Nvel1-SemNumPreto"/>
        <w:ind w:hanging="0" w:left="0"/>
        <w:rPr>
          <w:rFonts w:ascii="Arial" w:hAnsi="Arial"/>
        </w:rPr>
      </w:pPr>
      <w:r>
        <w:rPr/>
        <w:t>Qualificação Técnica</w:t>
      </w:r>
    </w:p>
    <w:p>
      <w:pPr>
        <w:pStyle w:val="Nvel2-Red"/>
        <w:numPr>
          <w:ilvl w:val="1"/>
          <w:numId w:val="225"/>
        </w:numPr>
        <w:ind w:hanging="0" w:left="0"/>
        <w:rPr>
          <w:rFonts w:ascii="Arial" w:hAnsi="Arial"/>
        </w:rPr>
      </w:pPr>
      <w:r>
        <w:rPr>
          <w:color w:val="000000"/>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vel3-R"/>
        <w:numPr>
          <w:ilvl w:val="2"/>
          <w:numId w:val="226"/>
        </w:numPr>
        <w:ind w:hanging="0" w:left="284"/>
        <w:rPr>
          <w:rFonts w:ascii="Arial" w:hAnsi="Arial"/>
        </w:rPr>
      </w:pPr>
      <w:r>
        <w:rPr>
          <w:color w:val="000000"/>
        </w:rPr>
        <w:t>Os atestados de capacidade técnica poderão ser apresentados em nome da matriz ou da filial do fornecedor.</w:t>
      </w:r>
    </w:p>
    <w:p>
      <w:pPr>
        <w:pStyle w:val="Nvel3-R"/>
        <w:numPr>
          <w:ilvl w:val="2"/>
          <w:numId w:val="227"/>
        </w:numPr>
        <w:ind w:hanging="0" w:left="284"/>
        <w:rPr>
          <w:rFonts w:ascii="Arial" w:hAnsi="Arial"/>
        </w:rPr>
      </w:pPr>
      <w:r>
        <w:rPr>
          <w:color w:val="000000"/>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2"/>
        <w:numPr>
          <w:ilvl w:val="1"/>
          <w:numId w:val="228"/>
        </w:numPr>
        <w:ind w:hanging="0" w:left="0"/>
        <w:rPr>
          <w:rFonts w:ascii="Arial" w:hAnsi="Arial"/>
        </w:rPr>
      </w:pPr>
      <w:r>
        <w:rPr/>
        <w:t>Caso admitida a participação de cooperativas, será exigida a seguinte documentação complementar:</w:t>
      </w:r>
    </w:p>
    <w:p>
      <w:pPr>
        <w:pStyle w:val="Nivel3"/>
        <w:numPr>
          <w:ilvl w:val="2"/>
          <w:numId w:val="229"/>
        </w:numPr>
        <w:ind w:hanging="0" w:left="284"/>
        <w:rPr/>
      </w:pPr>
      <w: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rPr>
          <w:rStyle w:val="Hyperlink"/>
        </w:rPr>
        <w:instrText xml:space="preserve"> HYPERLINK "https://www.planalto.gov.br/ccivil_03/leis/l5764.htm" \l "art4"</w:instrText>
      </w:r>
      <w:r>
        <w:rPr>
          <w:rStyle w:val="Hyperlink"/>
        </w:rPr>
        <w:fldChar w:fldCharType="separate"/>
      </w:r>
      <w:r>
        <w:rPr>
          <w:rStyle w:val="Hyperlink"/>
        </w:rPr>
        <w:t>arts. 4º, inciso XI, 21, inciso I</w:t>
      </w:r>
      <w:r>
        <w:rPr>
          <w:rStyle w:val="Hyperlink"/>
        </w:rPr>
        <w:fldChar w:fldCharType="end"/>
      </w:r>
      <w:r>
        <w:rPr/>
        <w:t xml:space="preserve"> e </w:t>
      </w:r>
      <w:r>
        <w:fldChar w:fldCharType="begin"/>
      </w:r>
      <w:r>
        <w:rPr>
          <w:rStyle w:val="Hyperlink"/>
        </w:rPr>
        <w:instrText xml:space="preserve"> HYPERLINK "https://www.planalto.gov.br/ccivil_03/leis/l5764.htm" \l "art42"</w:instrText>
      </w:r>
      <w:r>
        <w:rPr>
          <w:rStyle w:val="Hyperlink"/>
        </w:rPr>
        <w:fldChar w:fldCharType="separate"/>
      </w:r>
      <w:r>
        <w:rPr>
          <w:rStyle w:val="Hyperlink"/>
        </w:rPr>
        <w:t>42, §§2º a 6º da Lei n. 5.764, de 1971</w:t>
      </w:r>
      <w:r>
        <w:rPr>
          <w:rStyle w:val="Hyperlink"/>
        </w:rPr>
        <w:fldChar w:fldCharType="end"/>
      </w:r>
      <w:r>
        <w:rPr/>
        <w:t>;</w:t>
      </w:r>
    </w:p>
    <w:p>
      <w:pPr>
        <w:pStyle w:val="Nivel3"/>
        <w:numPr>
          <w:ilvl w:val="2"/>
          <w:numId w:val="230"/>
        </w:numPr>
        <w:ind w:hanging="0" w:left="284"/>
        <w:rPr>
          <w:rFonts w:ascii="Arial" w:hAnsi="Arial"/>
        </w:rPr>
      </w:pPr>
      <w:r>
        <w:rPr/>
        <w:t>A declaração de regularidade de situação do contribuinte individual – DRSCI, para cada um dos cooperados indicados;</w:t>
      </w:r>
    </w:p>
    <w:p>
      <w:pPr>
        <w:pStyle w:val="Nivel3"/>
        <w:numPr>
          <w:ilvl w:val="2"/>
          <w:numId w:val="231"/>
        </w:numPr>
        <w:ind w:hanging="0" w:left="284"/>
        <w:rPr>
          <w:rFonts w:ascii="Arial" w:hAnsi="Arial"/>
        </w:rPr>
      </w:pPr>
      <w:r>
        <w:rPr/>
        <w:t xml:space="preserve">A comprovação do capital social proporcional ao número de cooperados necessários à execução contratual; </w:t>
      </w:r>
    </w:p>
    <w:p>
      <w:pPr>
        <w:pStyle w:val="Nivel3"/>
        <w:numPr>
          <w:ilvl w:val="2"/>
          <w:numId w:val="232"/>
        </w:numPr>
        <w:ind w:hanging="0" w:left="284"/>
        <w:rPr/>
      </w:pPr>
      <w:r>
        <w:rPr/>
        <w:t xml:space="preserve">O registro previsto na </w:t>
      </w:r>
      <w:r>
        <w:fldChar w:fldCharType="begin"/>
      </w:r>
      <w:r>
        <w:rPr>
          <w:rStyle w:val="Hyperlink"/>
        </w:rPr>
        <w:instrText xml:space="preserve"> HYPERLINK "https://www.planalto.gov.br/ccivil_03/leis/l5764.htm" \l "art107"</w:instrText>
      </w:r>
      <w:r>
        <w:rPr>
          <w:rStyle w:val="Hyperlink"/>
        </w:rPr>
        <w:fldChar w:fldCharType="separate"/>
      </w:r>
      <w:r>
        <w:rPr>
          <w:rStyle w:val="Hyperlink"/>
        </w:rPr>
        <w:t>Lei n. 5.764, de 1971, art. 107</w:t>
      </w:r>
      <w:r>
        <w:rPr>
          <w:rStyle w:val="Hyperlink"/>
        </w:rPr>
        <w:fldChar w:fldCharType="end"/>
      </w:r>
      <w:r>
        <w:rPr/>
        <w:t>;</w:t>
      </w:r>
    </w:p>
    <w:p>
      <w:pPr>
        <w:pStyle w:val="Nivel3"/>
        <w:numPr>
          <w:ilvl w:val="2"/>
          <w:numId w:val="233"/>
        </w:numPr>
        <w:ind w:hanging="0" w:left="284"/>
        <w:rPr>
          <w:rFonts w:ascii="Arial" w:hAnsi="Arial"/>
        </w:rPr>
      </w:pPr>
      <w:r>
        <w:rPr/>
        <w:t xml:space="preserve"> </w:t>
      </w:r>
      <w:r>
        <w:rPr/>
        <w:t>A comprovação de integração das respectivas quotas-partes por parte dos cooperados que executarão o contrato; e</w:t>
      </w:r>
    </w:p>
    <w:p>
      <w:pPr>
        <w:pStyle w:val="Nivel3"/>
        <w:numPr>
          <w:ilvl w:val="2"/>
          <w:numId w:val="234"/>
        </w:numPr>
        <w:ind w:hanging="0" w:left="284"/>
        <w:rPr>
          <w:rFonts w:ascii="Arial" w:hAnsi="Arial"/>
        </w:rPr>
      </w:pPr>
      <w:r>
        <w:rPr/>
        <w:t xml:space="preserve"> </w:t>
      </w:r>
      <w:r>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pPr>
        <w:pStyle w:val="Nivel3"/>
        <w:numPr>
          <w:ilvl w:val="2"/>
          <w:numId w:val="235"/>
        </w:numPr>
        <w:ind w:hanging="0" w:left="284"/>
        <w:rPr/>
      </w:pPr>
      <w:r>
        <w:rPr/>
        <w:t xml:space="preserve">A última auditoria contábil-financeira da cooperativa, conforme dispõe o </w:t>
      </w:r>
      <w:r>
        <w:fldChar w:fldCharType="begin"/>
      </w:r>
      <w:r>
        <w:rPr>
          <w:rStyle w:val="Hyperlink"/>
        </w:rPr>
        <w:instrText xml:space="preserve"> HYPERLINK "https://www.planalto.gov.br/ccivil_03/leis/l5764.htm" \l "art112"</w:instrText>
      </w:r>
      <w:r>
        <w:rPr>
          <w:rStyle w:val="Hyperlink"/>
        </w:rPr>
        <w:fldChar w:fldCharType="separate"/>
      </w:r>
      <w:r>
        <w:rPr>
          <w:rStyle w:val="Hyperlink"/>
        </w:rPr>
        <w:t>art. 112 da Lei n. 5.764, de 1971</w:t>
      </w:r>
      <w:r>
        <w:rPr>
          <w:rStyle w:val="Hyperlink"/>
        </w:rPr>
        <w:fldChar w:fldCharType="end"/>
      </w:r>
      <w:r>
        <w:rPr/>
        <w:t>, ou uma declaração, sob as penas da lei, de que tal auditoria não foi exigida pelo órgão fiscalizador.</w:t>
      </w:r>
    </w:p>
    <w:p>
      <w:pPr>
        <w:pStyle w:val="Nivel01"/>
        <w:numPr>
          <w:ilvl w:val="0"/>
          <w:numId w:val="4"/>
        </w:numPr>
        <w:ind w:hanging="0" w:left="0"/>
        <w:rPr>
          <w:rFonts w:ascii="Arial" w:hAnsi="Arial"/>
        </w:rPr>
      </w:pPr>
      <w:r>
        <w:rPr/>
        <w:t>ESTIMATIVAS DO VALOR DA CONTRATAÇÃO</w:t>
      </w:r>
    </w:p>
    <w:p>
      <w:pPr>
        <w:pStyle w:val="Nvel2-Red"/>
        <w:numPr>
          <w:ilvl w:val="1"/>
          <w:numId w:val="236"/>
        </w:numPr>
        <w:ind w:hanging="0" w:left="0"/>
        <w:rPr>
          <w:rFonts w:ascii="Arial" w:hAnsi="Arial"/>
        </w:rPr>
      </w:pPr>
      <w:r>
        <w:rPr>
          <w:color w:val="000000"/>
        </w:rPr>
        <w:t xml:space="preserve">O custo estimado total da contratação é de R$ </w:t>
      </w:r>
      <w:r>
        <w:rPr>
          <w:color w:val="000000"/>
        </w:rPr>
        <w:t>550.387,89</w:t>
      </w:r>
      <w:r>
        <w:rPr>
          <w:color w:val="000000"/>
        </w:rPr>
        <w:t xml:space="preserve"> (Quinhentos e cinquenta mil, trezentos e oitenta e sete reais e oitenta e nove centavos), conforme custos unitários apostos na tabela acima</w:t>
      </w:r>
      <w:r>
        <w:rPr/>
        <w:t>.</w:t>
      </w:r>
    </w:p>
    <w:p>
      <w:pPr>
        <w:pStyle w:val="Nivel01"/>
        <w:numPr>
          <w:ilvl w:val="0"/>
          <w:numId w:val="4"/>
        </w:numPr>
        <w:ind w:hanging="0" w:left="0"/>
        <w:rPr>
          <w:rFonts w:ascii="Arial" w:hAnsi="Arial"/>
        </w:rPr>
      </w:pPr>
      <w:r>
        <w:rPr/>
        <w:t>ADEQUAÇÃO ORÇAMENTÁRIA</w:t>
      </w:r>
    </w:p>
    <w:p>
      <w:pPr>
        <w:pStyle w:val="Nivel2"/>
        <w:numPr>
          <w:ilvl w:val="1"/>
          <w:numId w:val="237"/>
        </w:numPr>
        <w:ind w:hanging="0" w:left="0"/>
        <w:rPr>
          <w:rFonts w:ascii="Arial" w:hAnsi="Arial"/>
        </w:rPr>
      </w:pPr>
      <w:r>
        <w:rPr/>
        <w:t>As despesas decorrentes da presente contratação correrão à conta de recursos específicos consignados no Orçamento Geral da União.</w:t>
      </w:r>
    </w:p>
    <w:p>
      <w:pPr>
        <w:pStyle w:val="Nivel2"/>
        <w:numPr>
          <w:ilvl w:val="1"/>
          <w:numId w:val="238"/>
        </w:numPr>
        <w:ind w:hanging="0" w:left="0"/>
        <w:rPr>
          <w:rFonts w:ascii="Arial" w:hAnsi="Arial"/>
        </w:rPr>
      </w:pPr>
      <w:r>
        <w:rPr/>
        <w:t>A contratação será atendida pela seguinte dotação:</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Gestão/Unidade: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Fonte de Recursos: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Programa de Trabalho: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Elemento de Despesa: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Plano Interno: [...];</w:t>
      </w:r>
    </w:p>
    <w:p>
      <w:pPr>
        <w:pStyle w:val="Nvel2-Red"/>
        <w:numPr>
          <w:ilvl w:val="0"/>
          <w:numId w:val="0"/>
        </w:numPr>
        <w:ind w:hanging="0" w:left="0"/>
        <w:rPr>
          <w:rFonts w:ascii="Arial" w:hAnsi="Arial"/>
        </w:rPr>
      </w:pPr>
      <w:r>
        <w:rPr/>
      </w:r>
      <w:bookmarkEnd w:id="0"/>
    </w:p>
    <w:p>
      <w:pPr>
        <w:pStyle w:val="Normal"/>
        <w:spacing w:lineRule="auto" w:line="276" w:before="0" w:after="120"/>
        <w:ind w:right="-15"/>
        <w:jc w:val="right"/>
        <w:rPr>
          <w:color w:val="000000"/>
        </w:rPr>
      </w:pPr>
      <w:r>
        <w:rPr>
          <w:rFonts w:eastAsia="Times New Roman" w:cs="Times New Roman" w:ascii="Times New Roman" w:hAnsi="Times New Roman"/>
          <w:color w:val="000000"/>
          <w:sz w:val="24"/>
          <w:szCs w:val="24"/>
        </w:rPr>
        <w:t>Paracambi – Rio de Janeiro, 28 de março de 2025.</w:t>
      </w:r>
    </w:p>
    <w:p>
      <w:pPr>
        <w:pStyle w:val="Normal"/>
        <w:spacing w:lineRule="auto" w:line="276" w:before="0" w:after="120"/>
        <w:ind w:right="-15"/>
        <w:jc w:val="right"/>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ivel2"/>
        <w:numPr>
          <w:ilvl w:val="0"/>
          <w:numId w:val="0"/>
        </w:numPr>
        <w:ind w:hanging="0" w:left="0"/>
        <w:rPr>
          <w:rFonts w:ascii="Arial" w:hAnsi="Arial"/>
        </w:rPr>
      </w:pPr>
      <w:r>
        <w:rPr/>
      </w:r>
    </w:p>
    <w:p>
      <w:pPr>
        <w:pStyle w:val="Normal"/>
        <w:spacing w:lineRule="auto" w:line="312" w:before="120" w:after="288"/>
        <w:ind w:left="357"/>
        <w:jc w:val="center"/>
        <w:rPr>
          <w:rFonts w:ascii="Arial" w:hAnsi="Arial" w:eastAsia="Arial" w:cs="Arial"/>
          <w:sz w:val="20"/>
          <w:szCs w:val="20"/>
        </w:rPr>
      </w:pPr>
      <w:r>
        <w:rPr>
          <w:rFonts w:eastAsia="Arial" w:cs="Arial" w:ascii="Arial" w:hAnsi="Arial"/>
          <w:sz w:val="20"/>
          <w:szCs w:val="20"/>
        </w:rPr>
      </w:r>
    </w:p>
    <w:p>
      <w:pPr>
        <w:pStyle w:val="Normal"/>
        <w:spacing w:lineRule="auto" w:line="312" w:before="120" w:after="288"/>
        <w:ind w:left="357"/>
        <w:jc w:val="center"/>
        <w:rPr>
          <w:rFonts w:ascii="Arial" w:hAnsi="Arial" w:eastAsia="Arial" w:cs="Arial"/>
          <w:sz w:val="20"/>
          <w:szCs w:val="20"/>
        </w:rPr>
      </w:pPr>
      <w:r>
        <w:rPr>
          <w:rFonts w:eastAsia="Arial" w:cs="Arial" w:ascii="Arial" w:hAnsi="Arial"/>
          <w:sz w:val="20"/>
          <w:szCs w:val="20"/>
        </w:rPr>
      </w:r>
    </w:p>
    <w:p>
      <w:pPr>
        <w:pStyle w:val="Normal"/>
        <w:spacing w:lineRule="auto" w:line="312" w:before="120" w:after="288"/>
        <w:ind w:left="357"/>
        <w:jc w:val="center"/>
        <w:rPr>
          <w:rFonts w:ascii="Arial" w:hAnsi="Arial" w:eastAsia="Arial" w:cs="Arial"/>
          <w:sz w:val="20"/>
          <w:szCs w:val="20"/>
        </w:rPr>
      </w:pPr>
      <w:r>
        <w:rPr>
          <w:rFonts w:eastAsia="Arial" w:cs="Arial" w:ascii="Arial" w:hAnsi="Arial"/>
          <w:sz w:val="20"/>
          <w:szCs w:val="20"/>
        </w:rPr>
      </w:r>
    </w:p>
    <w:p>
      <w:pPr>
        <w:pStyle w:val="Normal"/>
        <w:spacing w:before="0" w:after="0"/>
        <w:contextualSpacing/>
        <w:jc w:val="center"/>
        <w:rPr>
          <w:color w:val="000000"/>
        </w:rPr>
      </w:pPr>
      <w:r>
        <w:rPr>
          <w:rFonts w:eastAsia="Times New Roman" w:cs="Times New Roman" w:ascii="Times New Roman" w:hAnsi="Times New Roman"/>
          <w:b/>
          <w:bCs/>
          <w:color w:val="000000"/>
          <w:sz w:val="24"/>
          <w:szCs w:val="24"/>
        </w:rPr>
        <w:t>MARCELO BASTOS MACIEIRA – 1° SGT</w:t>
      </w:r>
    </w:p>
    <w:p>
      <w:pPr>
        <w:pStyle w:val="Normal"/>
        <w:spacing w:lineRule="auto" w:line="276"/>
        <w:ind w:right="-15"/>
        <w:jc w:val="center"/>
        <w:rPr>
          <w:color w:val="000000"/>
        </w:rPr>
      </w:pPr>
      <w:r>
        <w:rPr>
          <w:rFonts w:eastAsia="Times New Roman" w:cs="Times New Roman" w:ascii="Times New Roman" w:hAnsi="Times New Roman"/>
          <w:color w:val="000000"/>
          <w:sz w:val="24"/>
          <w:szCs w:val="24"/>
        </w:rPr>
        <w:t>Responsável pelo Termo de Referência</w:t>
      </w:r>
    </w:p>
    <w:p>
      <w:pPr>
        <w:pStyle w:val="Normal"/>
        <w:spacing w:lineRule="auto" w:line="276"/>
        <w:ind w:right="-15"/>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76"/>
        <w:ind w:right="-15"/>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76"/>
        <w:ind w:right="-15"/>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rPr>
          <w:color w:val="000000"/>
        </w:rPr>
      </w:pPr>
      <w:r>
        <w:rPr>
          <w:rFonts w:eastAsia="Times New Roman" w:cs="Times New Roman" w:ascii="Times New Roman" w:hAnsi="Times New Roman"/>
          <w:color w:val="000000"/>
          <w:sz w:val="24"/>
          <w:szCs w:val="24"/>
        </w:rPr>
        <w:t>Nos termos do disposto da Lei 14.133/2021, aprovo o presente Termo de Referência.</w:t>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jc w:val="center"/>
        <w:rPr>
          <w:color w:val="000000"/>
        </w:rPr>
      </w:pPr>
      <w:r>
        <w:rPr>
          <w:rFonts w:eastAsia="Times New Roman" w:cs="Times New Roman" w:ascii="Times New Roman" w:hAnsi="Times New Roman"/>
          <w:b/>
          <w:bCs/>
          <w:color w:val="000000"/>
          <w:sz w:val="24"/>
          <w:szCs w:val="24"/>
        </w:rPr>
        <w:t>ROBERTO DA SILVA DOS SANTOS – Ten Cel</w:t>
      </w:r>
    </w:p>
    <w:p>
      <w:pPr>
        <w:pStyle w:val="Normal"/>
        <w:jc w:val="center"/>
        <w:rPr>
          <w:color w:val="000000"/>
        </w:rPr>
      </w:pPr>
      <w:r>
        <w:rPr>
          <w:rFonts w:eastAsia="Times New Roman" w:cs="Times New Roman" w:ascii="Times New Roman" w:hAnsi="Times New Roman"/>
          <w:color w:val="000000"/>
          <w:sz w:val="24"/>
          <w:szCs w:val="24"/>
        </w:rPr>
        <w:t>Ordenador de Despesas do Depósito Central de Munição</w:t>
      </w:r>
    </w:p>
    <w:p>
      <w:pPr>
        <w:pStyle w:val="Normal"/>
        <w:jc w:val="center"/>
        <w:rPr>
          <w:color w:val="000000"/>
        </w:rPr>
      </w:pPr>
      <w:r>
        <w:rPr>
          <w:rFonts w:eastAsia="Times New Roman" w:cs="Times New Roman" w:ascii="Times New Roman" w:hAnsi="Times New Roman"/>
          <w:b/>
          <w:bCs/>
          <w:color w:val="000000"/>
          <w:sz w:val="24"/>
          <w:szCs w:val="24"/>
        </w:rPr>
        <w:t>Autoridade competente</w:t>
      </w:r>
    </w:p>
    <w:sectPr>
      <w:headerReference w:type="even" r:id="rId10"/>
      <w:headerReference w:type="default" r:id="rId11"/>
      <w:headerReference w:type="first" r:id="rId12"/>
      <w:footerReference w:type="even" r:id="rId13"/>
      <w:footerReference w:type="default" r:id="rId14"/>
      <w:footerReference w:type="first" r:id="rId15"/>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swiss"/>
    <w:pitch w:val="variable"/>
  </w:font>
  <w:font w:name="Calibri">
    <w:charset w:val="00"/>
    <w:family w:val="swiss"/>
    <w:pitch w:val="variable"/>
  </w:font>
  <w:font w:name="Tahoma">
    <w:charset w:val="00"/>
    <w:family w:val="swiss"/>
    <w:pitch w:val="variable"/>
  </w:font>
  <w:font w:name="OpenSymbol">
    <w:altName w:val="Arial Unicode MS"/>
    <w:charset w:val="00"/>
    <w:family w:val="auto"/>
    <w:pitch w:val="variable"/>
  </w:font>
  <w:font w:name="Liberation Sans">
    <w:altName w:val="Arial"/>
    <w:charset w:val="00"/>
    <w:family w:val="swiss"/>
    <w:pitch w:val="variable"/>
  </w:font>
  <w:font w:name="Rawline">
    <w:charset w:val="00"/>
    <w:family w:val="auto"/>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2"/>
          </w:rPr>
        </w:pPr>
        <w:r>
          <w:rPr>
            <w:color w:themeColor="text1" w:themeTint="80" w:val="7F7F7F"/>
            <w:spacing w:val="60"/>
            <w:sz w:val="22"/>
            <w:szCs w:val="22"/>
          </w:rPr>
          <w:tab/>
          <w:tab/>
        </w:r>
        <w:r>
          <w:rPr>
            <w:color w:themeColor="text1" w:themeTint="a6" w:val="595959"/>
            <w:spacing w:val="60"/>
            <w:sz w:val="22"/>
            <w:szCs w:val="22"/>
          </w:rPr>
          <w:t>Página</w:t>
        </w:r>
        <w:r>
          <w:rPr>
            <w:color w:themeColor="text1" w:themeTint="a6" w:val="595959"/>
            <w:sz w:val="22"/>
            <w:szCs w:val="22"/>
          </w:rPr>
          <w:t xml:space="preserve">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PAGE </w:instrText>
        </w:r>
        <w:r>
          <w:rPr>
            <w:sz w:val="22"/>
            <w:shd w:fill="E6E6E6" w:val="clear"/>
            <w:szCs w:val="22"/>
            <w:color w:themeColor="text1" w:themeTint="a6" w:val="595959"/>
          </w:rPr>
          <w:fldChar w:fldCharType="separate"/>
        </w:r>
        <w:r>
          <w:rPr>
            <w:sz w:val="22"/>
            <w:shd w:fill="E6E6E6" w:val="clear"/>
            <w:szCs w:val="22"/>
            <w:color w:themeColor="text1" w:themeTint="a6" w:val="595959"/>
          </w:rPr>
          <w:t>39</w:t>
        </w:r>
        <w:r>
          <w:rPr>
            <w:sz w:val="22"/>
            <w:shd w:fill="E6E6E6" w:val="clear"/>
            <w:szCs w:val="22"/>
            <w:color w:themeColor="text1" w:themeTint="a6" w:val="595959"/>
          </w:rPr>
          <w:fldChar w:fldCharType="end"/>
        </w:r>
        <w:r>
          <w:rPr>
            <w:color w:themeColor="text1" w:themeTint="a6" w:val="595959"/>
            <w:sz w:val="22"/>
            <w:szCs w:val="22"/>
          </w:rPr>
          <w:t xml:space="preserve"> |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NUMPAGES </w:instrText>
        </w:r>
        <w:r>
          <w:rPr>
            <w:sz w:val="22"/>
            <w:shd w:fill="E6E6E6" w:val="clear"/>
            <w:szCs w:val="22"/>
            <w:color w:themeColor="text1" w:themeTint="a6" w:val="595959"/>
          </w:rPr>
          <w:fldChar w:fldCharType="separate"/>
        </w:r>
        <w:r>
          <w:rPr>
            <w:sz w:val="22"/>
            <w:shd w:fill="E6E6E6" w:val="clear"/>
            <w:szCs w:val="22"/>
            <w:color w:themeColor="text1" w:themeTint="a6" w:val="595959"/>
          </w:rPr>
          <w:t>42</w:t>
        </w:r>
        <w:r>
          <w:rPr>
            <w:sz w:val="22"/>
            <w:shd w:fill="E6E6E6" w:val="clear"/>
            <w:szCs w:val="22"/>
            <w:color w:themeColor="text1" w:themeTint="a6" w:val="595959"/>
          </w:rPr>
          <w:fldChar w:fldCharType="end"/>
        </w:r>
      </w:p>
      <w:p>
        <w:pPr>
          <w:pStyle w:val="Footer"/>
          <w:rPr>
            <w:rFonts w:ascii="Rawline" w:hAnsi="Rawline" w:cs="Arial"/>
            <w:sz w:val="12"/>
          </w:rPr>
        </w:pPr>
        <w:r>
          <w:rPr>
            <w:rFonts w:cs="Arial" w:ascii="Rawline" w:hAnsi="Rawline"/>
            <w:sz w:val="12"/>
          </w:rPr>
          <w:t>Câmara Nacional de Modelos de Licitações e Contratos da Consultoria-Geral da União</w:t>
        </w:r>
      </w:p>
      <w:p>
        <w:pPr>
          <w:pStyle w:val="Footer"/>
          <w:rPr>
            <w:rFonts w:ascii="Rawline" w:hAnsi="Rawline" w:cs="Arial"/>
            <w:sz w:val="12"/>
          </w:rPr>
        </w:pPr>
        <w:r>
          <w:rPr>
            <w:rFonts w:cs="Arial" w:ascii="Rawline" w:hAnsi="Rawline"/>
            <w:sz w:val="12"/>
          </w:rPr>
          <w:t>Atualização: dezembro/2023</w:t>
        </w:r>
      </w:p>
      <w:p>
        <w:pPr>
          <w:pStyle w:val="Footer"/>
          <w:rPr>
            <w:rFonts w:ascii="Rawline" w:hAnsi="Rawline"/>
            <w:color w:themeColor="text2" w:themeShade="80" w:val="0F243E"/>
            <w:sz w:val="22"/>
            <w:szCs w:val="22"/>
          </w:rPr>
        </w:pPr>
        <w:r>
          <w:rPr>
            <w:rFonts w:cs="Arial" w:ascii="Rawline" w:hAnsi="Rawline"/>
            <w:sz w:val="12"/>
            <w:szCs w:val="12"/>
          </w:rPr>
          <w:t>Termo de Referência Aquisições – Licitação - Modelo para Pregão Eletrônico</w:t>
          <w:tab/>
          <w:tab/>
        </w:r>
      </w:p>
      <w:p>
        <w:pPr>
          <w:pStyle w:val="Footer"/>
          <w:rPr>
            <w:rFonts w:ascii="Rawline" w:hAnsi="Rawline"/>
            <w:sz w:val="12"/>
            <w:szCs w:val="12"/>
          </w:rPr>
        </w:pPr>
        <w:r>
          <w:rPr>
            <w:rFonts w:ascii="Rawline" w:hAnsi="Rawline"/>
            <w:sz w:val="12"/>
            <w:szCs w:val="12"/>
          </w:rPr>
          <w:t>Aprovado pela Secretaria de Gestão.</w:t>
        </w:r>
      </w:p>
      <w:p>
        <w:pPr>
          <w:pStyle w:val="Footer"/>
          <w:rPr>
            <w:rFonts w:ascii="Rawline" w:hAnsi="Rawline"/>
          </w:rPr>
        </w:pPr>
        <w:r>
          <w:rPr>
            <w:rFonts w:ascii="Rawline" w:hAnsi="Rawline"/>
            <w:sz w:val="12"/>
            <w:szCs w:val="12"/>
          </w:rPr>
          <w:t>Identidade visual pela Secretaria de Gestão (versão dezembro/2022)</w:t>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2"/>
          </w:rPr>
        </w:pPr>
        <w:r>
          <w:rPr>
            <w:color w:themeColor="text1" w:themeTint="80" w:val="7F7F7F"/>
            <w:spacing w:val="60"/>
            <w:sz w:val="22"/>
            <w:szCs w:val="22"/>
          </w:rPr>
          <w:tab/>
          <w:tab/>
        </w:r>
        <w:r>
          <w:rPr>
            <w:color w:themeColor="text1" w:themeTint="a6" w:val="595959"/>
            <w:spacing w:val="60"/>
            <w:sz w:val="22"/>
            <w:szCs w:val="22"/>
          </w:rPr>
          <w:t>Página</w:t>
        </w:r>
        <w:r>
          <w:rPr>
            <w:color w:themeColor="text1" w:themeTint="a6" w:val="595959"/>
            <w:sz w:val="22"/>
            <w:szCs w:val="22"/>
          </w:rPr>
          <w:t xml:space="preserve">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PAGE </w:instrText>
        </w:r>
        <w:r>
          <w:rPr>
            <w:sz w:val="22"/>
            <w:shd w:fill="E6E6E6" w:val="clear"/>
            <w:szCs w:val="22"/>
            <w:color w:themeColor="text1" w:themeTint="a6" w:val="595959"/>
          </w:rPr>
          <w:fldChar w:fldCharType="separate"/>
        </w:r>
        <w:r>
          <w:rPr>
            <w:sz w:val="22"/>
            <w:shd w:fill="E6E6E6" w:val="clear"/>
            <w:szCs w:val="22"/>
            <w:color w:themeColor="text1" w:themeTint="a6" w:val="595959"/>
          </w:rPr>
          <w:t>39</w:t>
        </w:r>
        <w:r>
          <w:rPr>
            <w:sz w:val="22"/>
            <w:shd w:fill="E6E6E6" w:val="clear"/>
            <w:szCs w:val="22"/>
            <w:color w:themeColor="text1" w:themeTint="a6" w:val="595959"/>
          </w:rPr>
          <w:fldChar w:fldCharType="end"/>
        </w:r>
        <w:r>
          <w:rPr>
            <w:color w:themeColor="text1" w:themeTint="a6" w:val="595959"/>
            <w:sz w:val="22"/>
            <w:szCs w:val="22"/>
          </w:rPr>
          <w:t xml:space="preserve"> |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NUMPAGES </w:instrText>
        </w:r>
        <w:r>
          <w:rPr>
            <w:sz w:val="22"/>
            <w:shd w:fill="E6E6E6" w:val="clear"/>
            <w:szCs w:val="22"/>
            <w:color w:themeColor="text1" w:themeTint="a6" w:val="595959"/>
          </w:rPr>
          <w:fldChar w:fldCharType="separate"/>
        </w:r>
        <w:r>
          <w:rPr>
            <w:sz w:val="22"/>
            <w:shd w:fill="E6E6E6" w:val="clear"/>
            <w:szCs w:val="22"/>
            <w:color w:themeColor="text1" w:themeTint="a6" w:val="595959"/>
          </w:rPr>
          <w:t>42</w:t>
        </w:r>
        <w:r>
          <w:rPr>
            <w:sz w:val="22"/>
            <w:shd w:fill="E6E6E6" w:val="clear"/>
            <w:szCs w:val="22"/>
            <w:color w:themeColor="text1" w:themeTint="a6" w:val="595959"/>
          </w:rPr>
          <w:fldChar w:fldCharType="end"/>
        </w:r>
      </w:p>
      <w:p>
        <w:pPr>
          <w:pStyle w:val="Footer"/>
          <w:rPr>
            <w:rFonts w:ascii="Rawline" w:hAnsi="Rawline" w:cs="Arial"/>
            <w:sz w:val="12"/>
          </w:rPr>
        </w:pPr>
        <w:r>
          <w:rPr>
            <w:rFonts w:cs="Arial" w:ascii="Rawline" w:hAnsi="Rawline"/>
            <w:sz w:val="12"/>
          </w:rPr>
          <w:t>Câmara Nacional de Modelos de Licitações e Contratos da Consultoria-Geral da União</w:t>
        </w:r>
      </w:p>
      <w:p>
        <w:pPr>
          <w:pStyle w:val="Footer"/>
          <w:rPr>
            <w:rFonts w:ascii="Rawline" w:hAnsi="Rawline" w:cs="Arial"/>
            <w:sz w:val="12"/>
          </w:rPr>
        </w:pPr>
        <w:r>
          <w:rPr>
            <w:rFonts w:cs="Arial" w:ascii="Rawline" w:hAnsi="Rawline"/>
            <w:sz w:val="12"/>
          </w:rPr>
          <w:t>Atualização: dezembro/2023</w:t>
        </w:r>
      </w:p>
      <w:p>
        <w:pPr>
          <w:pStyle w:val="Footer"/>
          <w:rPr>
            <w:rFonts w:ascii="Rawline" w:hAnsi="Rawline"/>
            <w:color w:themeColor="text2" w:themeShade="80" w:val="0F243E"/>
            <w:sz w:val="22"/>
            <w:szCs w:val="22"/>
          </w:rPr>
        </w:pPr>
        <w:r>
          <w:rPr>
            <w:rFonts w:cs="Arial" w:ascii="Rawline" w:hAnsi="Rawline"/>
            <w:sz w:val="12"/>
            <w:szCs w:val="12"/>
          </w:rPr>
          <w:t>Termo de Referência Aquisições – Licitação - Modelo para Pregão Eletrônico</w:t>
          <w:tab/>
          <w:tab/>
        </w:r>
      </w:p>
      <w:p>
        <w:pPr>
          <w:pStyle w:val="Footer"/>
          <w:rPr>
            <w:rFonts w:ascii="Rawline" w:hAnsi="Rawline"/>
            <w:sz w:val="12"/>
            <w:szCs w:val="12"/>
          </w:rPr>
        </w:pPr>
        <w:r>
          <w:rPr>
            <w:rFonts w:ascii="Rawline" w:hAnsi="Rawline"/>
            <w:sz w:val="12"/>
            <w:szCs w:val="12"/>
          </w:rPr>
          <w:t>Aprovado pela Secretaria de Gestão.</w:t>
        </w:r>
      </w:p>
      <w:p>
        <w:pPr>
          <w:pStyle w:val="Footer"/>
          <w:rPr>
            <w:rFonts w:ascii="Rawline" w:hAnsi="Rawline"/>
          </w:rPr>
        </w:pPr>
        <w:r>
          <w:rPr>
            <w:rFonts w:ascii="Rawline" w:hAnsi="Rawline"/>
            <w:sz w:val="12"/>
            <w:szCs w:val="12"/>
          </w:rPr>
          <w:t>Identidade visual pela Secretaria de Gestão (versão dezembro/2022)</w:t>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TERMO DE REFERÊNCIA - AQUISIÇÕES - LICITAÇÃO</w:t>
    </w:r>
  </w:p>
  <w:p>
    <w:pPr>
      <w:pStyle w:val="Header"/>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TERMO DE REFERÊNCIA - AQUISIÇÕES - LICITAÇÃO</w:t>
    </w:r>
  </w:p>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4"/>
  </w:num>
  <w:num w:numId="124">
    <w:abstractNumId w:val="4"/>
  </w:num>
  <w:num w:numId="125">
    <w:abstractNumId w:val="4"/>
  </w:num>
  <w:num w:numId="126">
    <w:abstractNumId w:val="4"/>
  </w:num>
  <w:num w:numId="127">
    <w:abstractNumId w:val="4"/>
  </w:num>
  <w:num w:numId="128">
    <w:abstractNumId w:val="4"/>
  </w:num>
  <w:num w:numId="129">
    <w:abstractNumId w:val="4"/>
  </w:num>
  <w:num w:numId="130">
    <w:abstractNumId w:val="4"/>
  </w:num>
  <w:num w:numId="131">
    <w:abstractNumId w:val="4"/>
  </w:num>
  <w:num w:numId="132">
    <w:abstractNumId w:val="4"/>
  </w:num>
  <w:num w:numId="133">
    <w:abstractNumId w:val="4"/>
  </w:num>
  <w:num w:numId="134">
    <w:abstractNumId w:val="4"/>
  </w:num>
  <w:num w:numId="135">
    <w:abstractNumId w:val="4"/>
  </w:num>
  <w:num w:numId="136">
    <w:abstractNumId w:val="4"/>
  </w:num>
  <w:num w:numId="137">
    <w:abstractNumId w:val="4"/>
  </w:num>
  <w:num w:numId="138">
    <w:abstractNumId w:val="4"/>
  </w:num>
  <w:num w:numId="139">
    <w:abstractNumId w:val="4"/>
  </w:num>
  <w:num w:numId="140">
    <w:abstractNumId w:val="4"/>
  </w:num>
  <w:num w:numId="141">
    <w:abstractNumId w:val="4"/>
  </w:num>
  <w:num w:numId="142">
    <w:abstractNumId w:val="4"/>
  </w:num>
  <w:num w:numId="143">
    <w:abstractNumId w:val="4"/>
  </w:num>
  <w:num w:numId="144">
    <w:abstractNumId w:val="4"/>
  </w:num>
  <w:num w:numId="145">
    <w:abstractNumId w:val="4"/>
  </w:num>
  <w:num w:numId="146">
    <w:abstractNumId w:val="4"/>
  </w:num>
  <w:num w:numId="147">
    <w:abstractNumId w:val="4"/>
  </w:num>
  <w:num w:numId="148">
    <w:abstractNumId w:val="4"/>
  </w:num>
  <w:num w:numId="149">
    <w:abstractNumId w:val="4"/>
  </w:num>
  <w:num w:numId="150">
    <w:abstractNumId w:val="4"/>
  </w:num>
  <w:num w:numId="151">
    <w:abstractNumId w:val="4"/>
  </w:num>
  <w:num w:numId="152">
    <w:abstractNumId w:val="4"/>
  </w:num>
  <w:num w:numId="153">
    <w:abstractNumId w:val="4"/>
  </w:num>
  <w:num w:numId="154">
    <w:abstractNumId w:val="4"/>
  </w:num>
  <w:num w:numId="155">
    <w:abstractNumId w:val="4"/>
  </w:num>
  <w:num w:numId="156">
    <w:abstractNumId w:val="4"/>
  </w:num>
  <w:num w:numId="157">
    <w:abstractNumId w:val="4"/>
  </w:num>
  <w:num w:numId="158">
    <w:abstractNumId w:val="4"/>
  </w:num>
  <w:num w:numId="159">
    <w:abstractNumId w:val="4"/>
  </w:num>
  <w:num w:numId="160">
    <w:abstractNumId w:val="4"/>
  </w:num>
  <w:num w:numId="161">
    <w:abstractNumId w:val="4"/>
  </w:num>
  <w:num w:numId="162">
    <w:abstractNumId w:val="4"/>
  </w:num>
  <w:num w:numId="163">
    <w:abstractNumId w:val="4"/>
  </w:num>
  <w:num w:numId="164">
    <w:abstractNumId w:val="4"/>
  </w:num>
  <w:num w:numId="165">
    <w:abstractNumId w:val="4"/>
  </w:num>
  <w:num w:numId="166">
    <w:abstractNumId w:val="4"/>
  </w:num>
  <w:num w:numId="167">
    <w:abstractNumId w:val="4"/>
  </w:num>
  <w:num w:numId="168">
    <w:abstractNumId w:val="4"/>
  </w:num>
  <w:num w:numId="169">
    <w:abstractNumId w:val="4"/>
  </w:num>
  <w:num w:numId="170">
    <w:abstractNumId w:val="4"/>
  </w:num>
  <w:num w:numId="171">
    <w:abstractNumId w:val="4"/>
  </w:num>
  <w:num w:numId="172">
    <w:abstractNumId w:val="4"/>
  </w:num>
  <w:num w:numId="173">
    <w:abstractNumId w:val="4"/>
  </w:num>
  <w:num w:numId="174">
    <w:abstractNumId w:val="4"/>
  </w:num>
  <w:num w:numId="175">
    <w:abstractNumId w:val="4"/>
  </w:num>
  <w:num w:numId="176">
    <w:abstractNumId w:val="4"/>
  </w:num>
  <w:num w:numId="177">
    <w:abstractNumId w:val="4"/>
  </w:num>
  <w:num w:numId="178">
    <w:abstractNumId w:val="4"/>
  </w:num>
  <w:num w:numId="179">
    <w:abstractNumId w:val="4"/>
  </w:num>
  <w:num w:numId="180">
    <w:abstractNumId w:val="4"/>
  </w:num>
  <w:num w:numId="181">
    <w:abstractNumId w:val="4"/>
  </w:num>
  <w:num w:numId="182">
    <w:abstractNumId w:val="4"/>
  </w:num>
  <w:num w:numId="183">
    <w:abstractNumId w:val="4"/>
  </w:num>
  <w:num w:numId="184">
    <w:abstractNumId w:val="4"/>
  </w:num>
  <w:num w:numId="185">
    <w:abstractNumId w:val="4"/>
  </w:num>
  <w:num w:numId="186">
    <w:abstractNumId w:val="4"/>
  </w:num>
  <w:num w:numId="187">
    <w:abstractNumId w:val="4"/>
  </w:num>
  <w:num w:numId="188">
    <w:abstractNumId w:val="4"/>
  </w:num>
  <w:num w:numId="189">
    <w:abstractNumId w:val="4"/>
  </w:num>
  <w:num w:numId="190">
    <w:abstractNumId w:val="4"/>
  </w:num>
  <w:num w:numId="191">
    <w:abstractNumId w:val="4"/>
  </w:num>
  <w:num w:numId="192">
    <w:abstractNumId w:val="4"/>
  </w:num>
  <w:num w:numId="193">
    <w:abstractNumId w:val="4"/>
  </w:num>
  <w:num w:numId="194">
    <w:abstractNumId w:val="4"/>
  </w:num>
  <w:num w:numId="195">
    <w:abstractNumId w:val="4"/>
  </w:num>
  <w:num w:numId="196">
    <w:abstractNumId w:val="4"/>
  </w:num>
  <w:num w:numId="197">
    <w:abstractNumId w:val="4"/>
  </w:num>
  <w:num w:numId="198">
    <w:abstractNumId w:val="4"/>
  </w:num>
  <w:num w:numId="199">
    <w:abstractNumId w:val="4"/>
  </w:num>
  <w:num w:numId="200">
    <w:abstractNumId w:val="4"/>
  </w:num>
  <w:num w:numId="201">
    <w:abstractNumId w:val="4"/>
  </w:num>
  <w:num w:numId="202">
    <w:abstractNumId w:val="4"/>
  </w:num>
  <w:num w:numId="203">
    <w:abstractNumId w:val="4"/>
  </w:num>
  <w:num w:numId="204">
    <w:abstractNumId w:val="4"/>
  </w:num>
  <w:num w:numId="205">
    <w:abstractNumId w:val="4"/>
  </w:num>
  <w:num w:numId="206">
    <w:abstractNumId w:val="4"/>
  </w:num>
  <w:num w:numId="207">
    <w:abstractNumId w:val="4"/>
  </w:num>
  <w:num w:numId="208">
    <w:abstractNumId w:val="4"/>
  </w:num>
  <w:num w:numId="209">
    <w:abstractNumId w:val="4"/>
  </w:num>
  <w:num w:numId="210">
    <w:abstractNumId w:val="4"/>
  </w:num>
  <w:num w:numId="211">
    <w:abstractNumId w:val="4"/>
  </w:num>
  <w:num w:numId="212">
    <w:abstractNumId w:val="4"/>
  </w:num>
  <w:num w:numId="213">
    <w:abstractNumId w:val="4"/>
  </w:num>
  <w:num w:numId="214">
    <w:abstractNumId w:val="4"/>
  </w:num>
  <w:num w:numId="215">
    <w:abstractNumId w:val="4"/>
  </w:num>
  <w:num w:numId="216">
    <w:abstractNumId w:val="4"/>
  </w:num>
  <w:num w:numId="217">
    <w:abstractNumId w:val="4"/>
  </w:num>
  <w:num w:numId="218">
    <w:abstractNumId w:val="4"/>
  </w:num>
  <w:num w:numId="219">
    <w:abstractNumId w:val="4"/>
  </w:num>
  <w:num w:numId="220">
    <w:abstractNumId w:val="4"/>
  </w:num>
  <w:num w:numId="221">
    <w:abstractNumId w:val="4"/>
  </w:num>
  <w:num w:numId="222">
    <w:abstractNumId w:val="4"/>
  </w:num>
  <w:num w:numId="223">
    <w:abstractNumId w:val="4"/>
  </w:num>
  <w:num w:numId="224">
    <w:abstractNumId w:val="4"/>
  </w:num>
  <w:num w:numId="225">
    <w:abstractNumId w:val="4"/>
  </w:num>
  <w:num w:numId="226">
    <w:abstractNumId w:val="4"/>
  </w:num>
  <w:num w:numId="227">
    <w:abstractNumId w:val="4"/>
  </w:num>
  <w:num w:numId="228">
    <w:abstractNumId w:val="4"/>
  </w:num>
  <w:num w:numId="229">
    <w:abstractNumId w:val="4"/>
  </w:num>
  <w:num w:numId="230">
    <w:abstractNumId w:val="4"/>
  </w:num>
  <w:num w:numId="231">
    <w:abstractNumId w:val="4"/>
  </w:num>
  <w:num w:numId="232">
    <w:abstractNumId w:val="4"/>
  </w:num>
  <w:num w:numId="233">
    <w:abstractNumId w:val="4"/>
  </w:num>
  <w:num w:numId="234">
    <w:abstractNumId w:val="4"/>
  </w:num>
  <w:num w:numId="235">
    <w:abstractNumId w:val="4"/>
  </w:num>
  <w:num w:numId="236">
    <w:abstractNumId w:val="4"/>
  </w:num>
  <w:num w:numId="237">
    <w:abstractNumId w:val="4"/>
  </w:num>
  <w:num w:numId="238">
    <w:abstractNumId w:val="4"/>
  </w:num>
</w:numbering>
</file>

<file path=word/settings.xml><?xml version="1.0" encoding="utf-8"?>
<w:settings xmlns:w="http://schemas.openxmlformats.org/wordprocessingml/2006/main">
  <w:zoom w:percent="100"/>
  <w:mirrorMargins/>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InternetLink">
    <w:name w:val="Internet Link"/>
    <w:qFormat/>
    <w:rsid w:val="00bf1a7f"/>
    <w:rPr>
      <w:color w:val="000080"/>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Comment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881f44"/>
    <w:rPr>
      <w:rFonts w:ascii="Arial" w:hAnsi="Arial" w:eastAsia=""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themeColor="dark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da3ef1"/>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84242c"/>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f93d80"/>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da3ef1"/>
    <w:rPr>
      <w:rFonts w:ascii="Arial" w:hAnsi="Arial" w:eastAsia="Arial" w:cs="Arial"/>
      <w:i/>
      <w:iCs/>
      <w:color w:val="FF0000"/>
      <w:lang w:eastAsia="pt-BR"/>
    </w:rPr>
  </w:style>
  <w:style w:type="character" w:styleId="Nivel3Char" w:customStyle="1">
    <w:name w:val="Nivel 3 Char"/>
    <w:basedOn w:val="DefaultParagraphFont"/>
    <w:link w:val="Nivel3"/>
    <w:qFormat/>
    <w:rsid w:val="005d30b6"/>
    <w:rPr>
      <w:rFonts w:ascii="Arial" w:hAnsi="Arial" w:cs="Arial"/>
      <w:color w:val="000000"/>
      <w:lang w:eastAsia="pt-BR"/>
    </w:rPr>
  </w:style>
  <w:style w:type="character" w:styleId="Nvel3-RChar" w:customStyle="1">
    <w:name w:val="Nível 3-R Char"/>
    <w:basedOn w:val="Nivel3Char"/>
    <w:link w:val="Nvel3-R"/>
    <w:qFormat/>
    <w:rsid w:val="00775cfb"/>
    <w:rPr>
      <w:rFonts w:ascii="Arial" w:hAnsi="Arial" w:cs="Arial"/>
      <w:i/>
      <w:iCs/>
      <w:color w:val="FF0000"/>
      <w:lang w:eastAsia="pt-BR"/>
    </w:rPr>
  </w:style>
  <w:style w:type="character" w:styleId="Nvel4-RChar" w:customStyle="1">
    <w:name w:val="Nível 4-R Char"/>
    <w:basedOn w:val="Nivel4Char"/>
    <w:link w:val="Nvel4-R"/>
    <w:qFormat/>
    <w:rsid w:val="00da3ef1"/>
    <w:rPr>
      <w:rFonts w:ascii="Arial" w:hAnsi="Arial" w:cs="Arial"/>
      <w:i/>
      <w:iCs/>
      <w:color w:val="FF0000"/>
      <w:lang w:eastAsia="pt-BR"/>
    </w:rPr>
  </w:style>
  <w:style w:type="character" w:styleId="InternetLink1" w:customStyle="1">
    <w:name w:val="Internet Link1"/>
    <w:basedOn w:val="DefaultParagraphFont"/>
    <w:uiPriority w:val="99"/>
    <w:unhideWhenUsed/>
    <w:qFormat/>
    <w:rsid w:val="00dc41dd"/>
    <w:rPr>
      <w:color w:themeColor="hyperlink" w:val="0000FF"/>
      <w:u w:val="single"/>
    </w:rPr>
  </w:style>
  <w:style w:type="character" w:styleId="Nvel1-SemNumChar" w:customStyle="1">
    <w:name w:val="Nível 1-Sem Num Char"/>
    <w:basedOn w:val="Nivel01Char"/>
    <w:link w:val="Nvel1-SemNum"/>
    <w:qFormat/>
    <w:rsid w:val="00881f44"/>
    <w:rPr>
      <w:rFonts w:ascii="Arial" w:hAnsi="Arial" w:eastAsia=""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findhit" w:customStyle="1">
    <w:name w:val="findhit"/>
    <w:basedOn w:val="DefaultParagraphFont"/>
    <w:qFormat/>
    <w:rsid w:val="00e66cc3"/>
    <w:rPr/>
  </w:style>
  <w:style w:type="character" w:styleId="Nivel3-erroChar" w:customStyle="1">
    <w:name w:val="Nivel 3-erro Char"/>
    <w:basedOn w:val="DefaultParagraphFont"/>
    <w:link w:val="Nivel3-erro"/>
    <w:qFormat/>
    <w:rsid w:val="005b0afb"/>
    <w:rPr>
      <w:rFonts w:ascii="Arial" w:hAnsi="Arial" w:cs="Tahoma"/>
      <w:szCs w:val="24"/>
      <w:lang w:eastAsia="pt-BR"/>
    </w:rPr>
  </w:style>
  <w:style w:type="character" w:styleId="AlteraesChar" w:customStyle="1">
    <w:name w:val="Alterações Char"/>
    <w:basedOn w:val="DefaultParagraphFont"/>
    <w:link w:val="Alteraes"/>
    <w:uiPriority w:val="1"/>
    <w:qFormat/>
    <w:rsid w:val="1414b7f7"/>
    <w:rPr>
      <w:rFonts w:ascii="Arial" w:hAnsi="Arial" w:cs="Arial"/>
      <w:i/>
      <w:iCs/>
      <w:color w:val="0000FF"/>
      <w:lang w:eastAsia="pt-BR"/>
    </w:rPr>
  </w:style>
  <w:style w:type="character" w:styleId="Mention">
    <w:name w:val="Mention"/>
    <w:basedOn w:val="DefaultParagraphFont"/>
    <w:uiPriority w:val="99"/>
    <w:unhideWhenUsed/>
    <w:qFormat/>
    <w:rsid w:val="002804a7"/>
    <w:rPr>
      <w:color w:val="2B579A"/>
      <w:shd w:fill="E6E6E6" w:val="clear"/>
    </w:rPr>
  </w:style>
  <w:style w:type="character" w:styleId="UnresolvedMention">
    <w:name w:val="Unresolved Mention"/>
    <w:basedOn w:val="DefaultParagraphFont"/>
    <w:uiPriority w:val="99"/>
    <w:semiHidden/>
    <w:unhideWhenUsed/>
    <w:qFormat/>
    <w:rsid w:val="00921a92"/>
    <w:rPr>
      <w:color w:val="605E5C"/>
      <w:shd w:fill="E1DFDD" w:val="clear"/>
    </w:rPr>
  </w:style>
  <w:style w:type="character" w:styleId="Nvel1-SemNumPretoChar" w:customStyle="1">
    <w:name w:val="Nível 1-Sem Num Preto Char"/>
    <w:basedOn w:val="Nvel1-SemNumChar"/>
    <w:link w:val="Nvel1-SemNumPreto"/>
    <w:qFormat/>
    <w:rsid w:val="00036ad7"/>
    <w:rPr>
      <w:rFonts w:ascii="Arial" w:hAnsi="Arial" w:eastAsia="" w:cs="Arial" w:eastAsiaTheme="majorEastAsia"/>
      <w:b/>
      <w:bCs/>
      <w:color w:themeColor="text2" w:themeShade="bf" w:val="FF0000"/>
      <w:spacing w:val="5"/>
      <w:kern w:val="2"/>
      <w:sz w:val="52"/>
      <w:szCs w:val="52"/>
      <w:lang w:eastAsia="zh-CN" w:bidi="hi-IN"/>
    </w:rPr>
  </w:style>
  <w:style w:type="character" w:styleId="Marcadores">
    <w:name w:val="Marcadores"/>
    <w:qFormat/>
    <w:rPr>
      <w:rFonts w:ascii="OpenSymbol" w:hAnsi="OpenSymbol" w:eastAsia="OpenSymbol" w:cs="OpenSymbol"/>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InternetLink8">
    <w:name w:val="Internet Link8"/>
    <w:qFormat/>
    <w:rPr>
      <w:color w:val="000080"/>
      <w:u w:val="single"/>
    </w:rPr>
  </w:style>
  <w:style w:type="character" w:styleId="InternetLink9">
    <w:name w:val="Internet Link9"/>
    <w:qFormat/>
    <w:rPr>
      <w:color w:val="000080"/>
      <w:u w:val="single"/>
    </w:rPr>
  </w:style>
  <w:style w:type="character" w:styleId="InternetLink10">
    <w:name w:val="Internet Link10"/>
    <w:qFormat/>
    <w:rPr>
      <w:color w:val="000080"/>
      <w:u w:val="single"/>
    </w:rPr>
  </w:style>
  <w:style w:type="character" w:styleId="InternetLink11">
    <w:name w:val="Internet Link11"/>
    <w:qFormat/>
    <w:rPr>
      <w:color w:val="000080"/>
      <w:u w:val="single"/>
    </w:rPr>
  </w:style>
  <w:style w:type="character" w:styleId="InternetLink12">
    <w:name w:val="Internet Link12"/>
    <w:qFormat/>
    <w:rPr>
      <w:color w:val="000080"/>
      <w:u w:val="single"/>
    </w:rPr>
  </w:style>
  <w:style w:type="character" w:styleId="InternetLink13">
    <w:name w:val="Internet Link13"/>
    <w:qFormat/>
    <w:rPr>
      <w:color w:val="000080"/>
      <w:u w:val="single"/>
    </w:rPr>
  </w:style>
  <w:style w:type="character" w:styleId="InternetLink14">
    <w:name w:val="Internet Link14"/>
    <w:qFormat/>
    <w:rPr>
      <w:color w:val="000080"/>
      <w:u w:val="single"/>
    </w:rPr>
  </w:style>
  <w:style w:type="character" w:styleId="InternetLink15">
    <w:name w:val="Internet Link15"/>
    <w:qFormat/>
    <w:rPr>
      <w:color w:val="000080"/>
      <w:u w:val="single"/>
    </w:rPr>
  </w:style>
  <w:style w:type="character" w:styleId="InternetLink16">
    <w:name w:val="Internet Link16"/>
    <w:qFormat/>
    <w:rPr>
      <w:color w:val="000080"/>
      <w:u w:val="single"/>
    </w:rPr>
  </w:style>
  <w:style w:type="character" w:styleId="InternetLink17">
    <w:name w:val="Internet Link17"/>
    <w:qFormat/>
    <w:rPr>
      <w:color w:val="000080"/>
      <w:u w:val="single"/>
    </w:rPr>
  </w:style>
  <w:style w:type="character" w:styleId="InternetLink18">
    <w:name w:val="Internet Link18"/>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3"/>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CommentText">
    <w:name w:val="annotation text"/>
    <w:basedOn w:val="Normal"/>
    <w:link w:val="TextodecomentrioChar"/>
    <w:uiPriority w:val="99"/>
    <w:unhideWhenUsed/>
    <w:rsid w:val="00d30a43"/>
    <w:pPr/>
    <w:rPr>
      <w:sz w:val="20"/>
      <w:szCs w:val="20"/>
    </w:rPr>
  </w:style>
  <w:style w:type="paragraph" w:styleId="annotationsubject">
    <w:name w:val="annotation subject"/>
    <w:basedOn w:val="CommentText"/>
    <w:next w:val="CommentText"/>
    <w:link w:val="AssuntodocomentrioChar"/>
    <w:uiPriority w:val="99"/>
    <w:semiHidden/>
    <w:unhideWhenUsed/>
    <w:qFormat/>
    <w:rsid w:val="00430fdb"/>
    <w:pPr/>
    <w:rPr>
      <w:b/>
      <w:bCs/>
    </w:rPr>
  </w:style>
  <w:style w:type="paragraph" w:styleId="Nivel01" w:customStyle="1">
    <w:name w:val="Nivel 01"/>
    <w:basedOn w:val="Heading1"/>
    <w:next w:val="Normal"/>
    <w:link w:val="Nivel01Char"/>
    <w:autoRedefine/>
    <w:qFormat/>
    <w:rsid w:val="00881f44"/>
    <w:pPr>
      <w:numPr>
        <w:ilvl w:val="0"/>
        <w:numId w:val="4"/>
      </w:numPr>
      <w:tabs>
        <w:tab w:val="clear" w:pos="708"/>
        <w:tab w:val="left" w:pos="567" w:leader="none"/>
      </w:tabs>
      <w:spacing w:lineRule="auto" w:line="276" w:before="240" w:after="120"/>
      <w:ind w:hanging="0"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 w:cstheme="majorBidi"/>
      <w:color w:themeColor="dark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autoRedefine/>
    <w:qFormat/>
    <w:rsid w:val="0084242c"/>
    <w:pPr>
      <w:numPr>
        <w:ilvl w:val="1"/>
        <w:numId w:val="2"/>
      </w:numPr>
      <w:spacing w:lineRule="auto" w:line="276" w:before="120" w:after="120"/>
      <w:ind w:hanging="0" w:left="0"/>
      <w:jc w:val="both"/>
    </w:pPr>
    <w:rPr>
      <w:rFonts w:ascii="Arial" w:hAnsi="Arial" w:eastAsia="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autoRedefine/>
    <w:qFormat/>
    <w:rsid w:val="005d30b6"/>
    <w:pPr>
      <w:numPr>
        <w:ilvl w:val="2"/>
        <w:numId w:val="2"/>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autoRedefine/>
    <w:qFormat/>
    <w:rsid w:val="00da3ef1"/>
    <w:pPr>
      <w:ind w:hanging="0" w:left="567"/>
    </w:pPr>
    <w:rPr>
      <w:color w:val="auto"/>
    </w:rPr>
  </w:style>
  <w:style w:type="paragraph" w:styleId="Nivel5" w:customStyle="1">
    <w:name w:val="Nivel 5"/>
    <w:basedOn w:val="Nivel4"/>
    <w:autoRedefine/>
    <w:qFormat/>
    <w:rsid w:val="00da3ef1"/>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f93d80"/>
    <w:pPr>
      <w:spacing w:lineRule="auto" w:line="259" w:before="60" w:after="60"/>
      <w:ind w:left="0"/>
      <w:contextualSpacing w:val="false"/>
      <w:jc w:val="center"/>
    </w:pPr>
    <w:rPr>
      <w:rFonts w:ascii="Arial" w:hAnsi="Arial" w:eastAsia="Cambria" w:cs="Arial" w:eastAsiaTheme="minorHAnsi"/>
      <w:b/>
      <w:bCs/>
      <w:i/>
      <w:iCs/>
      <w:color w:val="FF0000"/>
      <w:sz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da3ef1"/>
    <w:pPr/>
    <w:rPr>
      <w:i/>
      <w:iCs/>
      <w:color w:val="FF0000"/>
    </w:rPr>
  </w:style>
  <w:style w:type="paragraph" w:styleId="Nvel3-R" w:customStyle="1">
    <w:name w:val="Nível 3-R"/>
    <w:basedOn w:val="Nivel3"/>
    <w:link w:val="Nvel3-RChar"/>
    <w:autoRedefine/>
    <w:qFormat/>
    <w:rsid w:val="00775cfb"/>
    <w:pPr/>
    <w:rPr>
      <w:i/>
      <w:iCs/>
      <w:color w:val="FF0000"/>
    </w:rPr>
  </w:style>
  <w:style w:type="paragraph" w:styleId="Nvel4-R" w:customStyle="1">
    <w:name w:val="Nível 4-R"/>
    <w:basedOn w:val="Nivel4"/>
    <w:link w:val="Nvel4-RChar"/>
    <w:autoRedefine/>
    <w:qFormat/>
    <w:rsid w:val="00da3ef1"/>
    <w:pPr/>
    <w:rPr>
      <w:i/>
      <w:iCs/>
      <w:color w:val="FF0000"/>
    </w:rPr>
  </w:style>
  <w:style w:type="paragraph" w:styleId="Nvel1-SemNum" w:customStyle="1">
    <w:name w:val="Nível 1-Sem Num"/>
    <w:basedOn w:val="Nivel01"/>
    <w:link w:val="Nvel1-SemNumChar"/>
    <w:autoRedefine/>
    <w:qFormat/>
    <w:rsid w:val="00881f44"/>
    <w:pPr>
      <w:numPr>
        <w:ilvl w:val="0"/>
        <w:numId w:val="0"/>
      </w:numPr>
      <w:ind w:hanging="0" w:left="0"/>
      <w:outlineLvl w:val="1"/>
    </w:pPr>
    <w:rPr>
      <w:color w:themeColor="accent1" w:themeShade="bf"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Nivel3-erro" w:customStyle="1">
    <w:name w:val="Nivel 3-erro"/>
    <w:basedOn w:val="Nivel3"/>
    <w:link w:val="Nivel3-erroChar"/>
    <w:qFormat/>
    <w:rsid w:val="005b0afb"/>
    <w:pPr>
      <w:numPr>
        <w:ilvl w:val="2"/>
        <w:numId w:val="1"/>
      </w:numPr>
      <w:spacing w:lineRule="auto" w:line="240"/>
      <w:ind w:hanging="0" w:left="425"/>
    </w:pPr>
    <w:rPr>
      <w:rFonts w:cs="Tahoma"/>
      <w:color w:val="auto"/>
      <w:szCs w:val="24"/>
    </w:rPr>
  </w:style>
  <w:style w:type="paragraph" w:styleId="Alteraes" w:customStyle="1">
    <w:name w:val="Alterações"/>
    <w:basedOn w:val="Normal"/>
    <w:link w:val="AlteraesChar"/>
    <w:uiPriority w:val="1"/>
    <w:qFormat/>
    <w:rsid w:val="1414b7f7"/>
    <w:pPr>
      <w:spacing w:lineRule="auto" w:line="276" w:before="120" w:after="120"/>
      <w:jc w:val="both"/>
      <w:outlineLvl w:val="1"/>
    </w:pPr>
    <w:rPr>
      <w:rFonts w:ascii="Arial" w:hAnsi="Arial" w:cs="Arial"/>
      <w:i/>
      <w:iCs/>
      <w:color w:val="0000FF"/>
      <w:sz w:val="20"/>
      <w:szCs w:val="20"/>
    </w:rPr>
  </w:style>
  <w:style w:type="paragraph" w:styleId="Nvel1-SemNumPreto" w:customStyle="1">
    <w:name w:val="Nível 1-Sem Num Preto"/>
    <w:basedOn w:val="Nvel1-SemNum"/>
    <w:link w:val="Nvel1-SemNumPretoChar"/>
    <w:qFormat/>
    <w:rsid w:val="00036ad7"/>
    <w:pPr/>
    <w:rPr>
      <w:color w:themeColor="accent1" w:themeShade="bf" w:val="auto"/>
      <w:lang w:eastAsia="zh-CN" w:bidi="hi-IN"/>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Semlista" w:default="1">
    <w:name w:val="Sem lista"/>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in.gov.br/en/web/dou/-/instrucao-normativa-seges/me-n-77-de-4-de-novembro-de-2022-441681061"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gov.br/compras/pt-br/acesso-a-informacao/legislacao/instrucoes-normativas/instrucao-normativa-no-53-de-8-de-julho-de-2020" TargetMode="External"/><Relationship Id="rId6" Type="http://schemas.openxmlformats.org/officeDocument/2006/relationships/hyperlink" Target="http://www.planalto.gov.br/ccivil_03/AGU/Pareceres/2019-2022/PRC-JL-01-2020.htm" TargetMode="External"/><Relationship Id="rId7" Type="http://schemas.openxmlformats.org/officeDocument/2006/relationships/hyperlink" Target="https://www.gov.br/empresas-e-negocios/pt-br/empreendedor" TargetMode="External"/><Relationship Id="rId8" Type="http://schemas.openxmlformats.org/officeDocument/2006/relationships/hyperlink" Target="https://www.gov.br/economia/pt-br/assuntos/drei/legislacao/arquivos/legislacoes-federais/indrei772020.pdf" TargetMode="External"/><Relationship Id="rId9"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customXml/itemProps3.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A7BC89-5B8C-4EEE-8246-9B4C054A5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Application>LibreOffice/24.8.0.3$Windows_X86_64 LibreOffice_project/0bdf1299c94fe897b119f97f3c613e9dca6be583</Application>
  <AppVersion>15.0000</AppVersion>
  <Pages>42</Pages>
  <Words>11346</Words>
  <Characters>62717</Characters>
  <CharactersWithSpaces>72313</CharactersWithSpaces>
  <Paragraphs>1680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2023-12-21T22:05:00Z</dcterms:created>
  <dc:creator/>
  <dc:description/>
  <dc:language>pt-BR</dc:language>
  <cp:lastModifiedBy/>
  <cp:lastPrinted>2024-11-01T11:27:19Z</cp:lastPrinted>
  <dcterms:modified xsi:type="dcterms:W3CDTF">2025-04-10T15:41:24Z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